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中小企業信用保険法第２条第５項第４号の規定に基づく特定中小企業者認定にかかる売上等明細表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の前月の売上高等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の前々月の売上高等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　の期間前２か月間の売上高等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認定書内Ｂに転記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４．最近３か月間の売上高等の平均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（ア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ウ）÷３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円（エ）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５．最近１か月間の減少率について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1</Words>
  <Characters>471</Characters>
  <Application>JUST Note</Application>
  <Lines>101</Lines>
  <Paragraphs>32</Paragraphs>
  <Company>Toshiba</Company>
  <CharactersWithSpaces>624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2020-05-12T02:30:22Z</dcterms:modified>
  <cp:revision>9</cp:revision>
</cp:coreProperties>
</file>