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B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w:t>
            </w:r>
            <w:r>
              <w:rPr>
                <w:rFonts w:hint="eastAsia" w:ascii="HG丸ｺﾞｼｯｸM-PRO" w:hAnsi="HG丸ｺﾞｼｯｸM-PRO" w:eastAsia="HG丸ｺﾞｼｯｸM-PRO"/>
              </w:rPr>
              <w:t>5</w:t>
            </w:r>
            <w:r>
              <w:rPr>
                <w:rFonts w:hint="eastAsia" w:ascii="HG丸ｺﾞｼｯｸM-PRO" w:hAnsi="HG丸ｺﾞｼｯｸM-PRO" w:eastAsia="HG丸ｺﾞｼｯｸM-PRO"/>
              </w:rPr>
              <w:t>章　仮設トイレ等・し尿の処理</w:t>
            </w:r>
          </w:p>
        </w:tc>
      </w:tr>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第１節　し尿等の発生</w:t>
            </w:r>
          </w:p>
        </w:tc>
      </w:tr>
    </w:tbl>
    <w:p>
      <w:pPr>
        <w:pStyle w:val="0"/>
        <w:ind w:firstLine="210" w:firstLineChars="100"/>
        <w:rPr>
          <w:rFonts w:hint="default" w:ascii="HG丸ｺﾞｼｯｸM-PRO" w:hAnsi="HG丸ｺﾞｼｯｸM-PRO" w:eastAsia="HG丸ｺﾞｼｯｸM-PRO"/>
        </w:rPr>
      </w:pPr>
      <w:bookmarkStart w:id="0" w:name="_GoBack"/>
      <w:bookmarkEnd w:id="0"/>
      <w:r>
        <w:rPr>
          <w:rFonts w:hint="eastAsia" w:ascii="HG丸ｺﾞｼｯｸM-PRO" w:hAnsi="HG丸ｺﾞｼｯｸM-PRO" w:eastAsia="HG丸ｺﾞｼｯｸM-PRO"/>
        </w:rPr>
        <w:t>災害時には、停電や断水、上下水道配管の損傷等により水洗トイレが使用できないおそれがあり、携帯トイレや簡易トイレ、仮設トイレ（汲み取り、マンホール等）の利用が想定される。トイレの種類によって収集運搬車両、処理方法が異なる。既存の処理施設が被災した場合、携帯トイレ等の処理やし尿の処理を近隣市町村へ依頼することになるため、避難者数や発生原単位等からし尿の発生量を推計する。なお、し尿の発生量の推計方法は巻末資料を参照のこと。</w:t>
      </w:r>
    </w:p>
    <w:p>
      <w:pPr>
        <w:pStyle w:val="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図表５－１　災害用トイレの種類</w:t>
            </w:r>
          </w:p>
        </w:tc>
      </w:tr>
    </w:tbl>
    <w:p>
      <w:pPr>
        <w:pStyle w:val="0"/>
        <w:rPr>
          <w:rFonts w:hint="default" w:ascii="HG丸ｺﾞｼｯｸM-PRO" w:hAnsi="HG丸ｺﾞｼｯｸM-PRO" w:eastAsia="HG丸ｺﾞｼｯｸM-PRO"/>
        </w:rPr>
      </w:pPr>
    </w:p>
    <w:tbl>
      <w:tblPr>
        <w:tblStyle w:val="45"/>
        <w:tblW w:w="9736"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980"/>
        <w:gridCol w:w="7756"/>
      </w:tblGrid>
      <w:tr>
        <w:trPr/>
        <w:tc>
          <w:tcPr>
            <w:tcW w:w="1980"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名称</w:t>
            </w:r>
          </w:p>
        </w:tc>
        <w:tc>
          <w:tcPr>
            <w:tcW w:w="7756"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説明</w:t>
            </w:r>
          </w:p>
        </w:tc>
      </w:tr>
      <w:tr>
        <w:trPr/>
        <w:tc>
          <w:tcPr>
            <w:tcW w:w="1980"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携帯トイレ</w:t>
            </w:r>
          </w:p>
        </w:tc>
        <w:tc>
          <w:tcPr>
            <w:tcW w:w="775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既存の様式便器につけて使用する便袋タイプ。吸水シートや凝固剤で水分を安定化させる。</w:t>
            </w:r>
          </w:p>
        </w:tc>
      </w:tr>
      <w:tr>
        <w:trPr/>
        <w:tc>
          <w:tcPr>
            <w:tcW w:w="1980"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簡易トイレ</w:t>
            </w:r>
          </w:p>
        </w:tc>
        <w:tc>
          <w:tcPr>
            <w:tcW w:w="775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段ボール等の組立て式便器に便袋をつけて使用する。吸水シートや凝固剤で水分を安定化させる。</w:t>
            </w:r>
          </w:p>
        </w:tc>
      </w:tr>
      <w:tr>
        <w:trPr/>
        <w:tc>
          <w:tcPr>
            <w:tcW w:w="1980"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仮設トイレ</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（汲み取り）</w:t>
            </w:r>
          </w:p>
        </w:tc>
        <w:tc>
          <w:tcPr>
            <w:tcW w:w="775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電気なしで使用できるものが多い。便槽に貯留する方式がある。</w:t>
            </w:r>
          </w:p>
        </w:tc>
      </w:tr>
      <w:tr>
        <w:trPr/>
        <w:tc>
          <w:tcPr>
            <w:tcW w:w="1980"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仮設トイレ</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（マンホール）</w:t>
            </w:r>
          </w:p>
        </w:tc>
        <w:tc>
          <w:tcPr>
            <w:tcW w:w="775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下水道のマンホールや、下水道管に接続する排水設備上に、便器や仕切り施設等を設置する。</w:t>
            </w:r>
          </w:p>
        </w:tc>
      </w:tr>
    </w:tbl>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出典：「避難所におけるトイレの確保・管理ガイドライン」（平成</w:t>
      </w:r>
      <w:r>
        <w:rPr>
          <w:rFonts w:hint="eastAsia" w:ascii="HG丸ｺﾞｼｯｸM-PRO" w:hAnsi="HG丸ｺﾞｼｯｸM-PRO" w:eastAsia="HG丸ｺﾞｼｯｸM-PRO"/>
          <w:sz w:val="18"/>
        </w:rPr>
        <w:t>28</w:t>
      </w:r>
      <w:r>
        <w:rPr>
          <w:rFonts w:hint="eastAsia" w:ascii="HG丸ｺﾞｼｯｸM-PRO" w:hAnsi="HG丸ｺﾞｼｯｸM-PRO" w:eastAsia="HG丸ｺﾞｼｯｸM-PRO"/>
          <w:sz w:val="18"/>
        </w:rPr>
        <w:t>年４月、内閣府）を元に一部加筆</w:t>
      </w:r>
    </w:p>
    <w:p>
      <w:pPr>
        <w:pStyle w:val="0"/>
        <w:rPr>
          <w:rFonts w:hint="default"/>
        </w:r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第２節　仮設トイレ等の設置</w:t>
            </w:r>
          </w:p>
        </w:tc>
      </w:tr>
    </w:tbl>
    <w:p>
      <w:pPr>
        <w:pStyle w:val="3"/>
        <w:numPr>
          <w:ilvl w:val="2"/>
          <w:numId w:val="3"/>
        </w:numPr>
        <w:rPr>
          <w:rFonts w:hint="default"/>
        </w:rPr>
      </w:pPr>
      <w:r>
        <w:rPr>
          <w:rFonts w:hint="eastAsia"/>
        </w:rPr>
        <w:t>災害時</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【避難所の開設状況の確認】</w:t>
      </w:r>
    </w:p>
    <w:p>
      <w:pPr>
        <w:pStyle w:val="15"/>
        <w:numPr>
          <w:ilvl w:val="0"/>
          <w:numId w:val="4"/>
        </w:numPr>
        <w:ind w:leftChars="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公共施設部：廃棄物担当は、災害対策本部を通じて、各避難所の避難者数、各避難所のライフラインの被害状況、各避難</w:t>
      </w:r>
      <w:r>
        <w:rPr>
          <w:rFonts w:hint="eastAsia" w:ascii="HG丸ｺﾞｼｯｸM-PRO" w:hAnsi="HG丸ｺﾞｼｯｸM-PRO" w:eastAsia="HG丸ｺﾞｼｯｸM-PRO"/>
        </w:rPr>
        <w:t>所の仮設トイレ等の設置状況を確認する。</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【携帯トイレ・簡易トイレの使用】</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下水道の機能に支障が生じている場合で、あらかじめ備蓄している携帯トイレや簡易トイレを使用する場合は、携帯トイレ等の排出場所や保管方法（フレコンバッグ等）を検討する。</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【仮設トイレの設置】</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避難所毎の避難者数に基づき、仮設トイレ（汲み取り）を設置・増設する。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避難者だけではなく、断水等により水洗トイレが使用できなくなった在宅住民も仮設トイレを利用することを考慮し、適正な数を設置する必要がある。</w:t>
      </w:r>
    </w:p>
    <w:p>
      <w:pPr>
        <w:pStyle w:val="15"/>
        <w:ind w:left="780" w:leftChars="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【仮設トイレの管理】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設置した仮設トイレ等を衛生的に管理するために、避難所運営や防疫活動に係る関係他部と連携し、消臭剤・脱臭剤の確保、その他備品・消耗品（手指用の消毒液、ウェットティッシュ、トイレットペーパー）の確保、定期的な清掃等を実施する。</w:t>
      </w:r>
    </w:p>
    <w:p>
      <w:pPr>
        <w:pStyle w:val="0"/>
        <w:rPr>
          <w:rFonts w:hint="default" w:ascii="HG丸ｺﾞｼｯｸM-PRO" w:hAnsi="HG丸ｺﾞｼｯｸM-PRO" w:eastAsia="HG丸ｺﾞｼｯｸM-PRO"/>
        </w:rPr>
      </w:pPr>
    </w:p>
    <w:p>
      <w:pPr>
        <w:pStyle w:val="3"/>
        <w:rPr>
          <w:rFonts w:hint="default"/>
        </w:rPr>
      </w:pPr>
      <w:r>
        <w:rPr>
          <w:rFonts w:hint="eastAsia"/>
        </w:rPr>
        <w:t>平時</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関係他部局と協議・調整しながら、災害用トイレの備蓄を進める。仮設トイレ（汲み取り）については、高齢者や幼児が使いやすい洋式タイプや、車いす用のものも調達する。仮設トイレのレンタル事業者と協定の締結等を進め、災害時に仮設トイレが不足しないよう備え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避難所における仮設トイレ等の使用・管理ルール等については、避難所運営に携わる関係者とあらかじめ協議・調整しておく。</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発災後、早急に仮設トイレ等を設置し衛生的に管理できるよう、仮設トイレ等の設置手順、使用方法・管理方法等を検討しておく。</w:t>
      </w:r>
    </w:p>
    <w:p>
      <w:pPr>
        <w:pStyle w:val="15"/>
        <w:ind w:left="780" w:leftChars="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図表５－２　災害用トイレの備蓄数</w:t>
            </w:r>
          </w:p>
        </w:tc>
      </w:tr>
    </w:tbl>
    <w:p>
      <w:pPr>
        <w:pStyle w:val="15"/>
        <w:ind w:left="780" w:leftChars="0"/>
        <w:rPr>
          <w:rFonts w:hint="default" w:ascii="HG丸ｺﾞｼｯｸM-PRO" w:hAnsi="HG丸ｺﾞｼｯｸM-PRO" w:eastAsia="HG丸ｺﾞｼｯｸM-PRO"/>
        </w:rPr>
      </w:pPr>
    </w:p>
    <w:tbl>
      <w:tblPr>
        <w:tblStyle w:val="45"/>
        <w:tblW w:w="6197"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3098"/>
        <w:gridCol w:w="3099"/>
      </w:tblGrid>
      <w:tr>
        <w:trPr/>
        <w:tc>
          <w:tcPr>
            <w:tcW w:w="3098"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品目</w:t>
            </w:r>
          </w:p>
        </w:tc>
        <w:tc>
          <w:tcPr>
            <w:tcW w:w="3099"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数量</w:t>
            </w:r>
          </w:p>
        </w:tc>
      </w:tr>
      <w:tr>
        <w:trPr/>
        <w:tc>
          <w:tcPr>
            <w:tcW w:w="3098" w:type="dxa"/>
            <w:vAlign w:val="top"/>
          </w:tcPr>
          <w:p>
            <w:pPr>
              <w:pStyle w:val="0"/>
              <w:spacing w:line="300" w:lineRule="exact"/>
              <w:rPr>
                <w:rFonts w:hint="default" w:ascii="HG丸ｺﾞｼｯｸM-PRO" w:hAnsi="HG丸ｺﾞｼｯｸM-PRO" w:eastAsia="HG丸ｺﾞｼｯｸM-PRO"/>
                <w:color w:val="auto"/>
                <w:kern w:val="0"/>
              </w:rPr>
            </w:pPr>
            <w:r>
              <w:rPr>
                <w:rFonts w:hint="eastAsia" w:ascii="HG丸ｺﾞｼｯｸM-PRO" w:hAnsi="HG丸ｺﾞｼｯｸM-PRO" w:eastAsia="HG丸ｺﾞｼｯｸM-PRO"/>
                <w:color w:val="auto"/>
                <w:kern w:val="0"/>
              </w:rPr>
              <w:t>組み立て式仮設トイレ</w:t>
            </w:r>
          </w:p>
        </w:tc>
        <w:tc>
          <w:tcPr>
            <w:tcW w:w="3099" w:type="dxa"/>
            <w:vAlign w:val="top"/>
          </w:tcPr>
          <w:p>
            <w:pPr>
              <w:pStyle w:val="0"/>
              <w:spacing w:line="300" w:lineRule="exact"/>
              <w:jc w:val="center"/>
              <w:rPr>
                <w:rFonts w:hint="default" w:ascii="HG丸ｺﾞｼｯｸM-PRO" w:hAnsi="HG丸ｺﾞｼｯｸM-PRO" w:eastAsia="HG丸ｺﾞｼｯｸM-PRO"/>
                <w:color w:val="auto"/>
                <w:kern w:val="0"/>
              </w:rPr>
            </w:pPr>
            <w:r>
              <w:rPr>
                <w:rFonts w:hint="eastAsia" w:ascii="HG丸ｺﾞｼｯｸM-PRO" w:hAnsi="HG丸ｺﾞｼｯｸM-PRO" w:eastAsia="HG丸ｺﾞｼｯｸM-PRO"/>
                <w:color w:val="auto"/>
                <w:kern w:val="0"/>
              </w:rPr>
              <w:t>３６基</w:t>
            </w:r>
          </w:p>
        </w:tc>
      </w:tr>
      <w:tr>
        <w:trPr/>
        <w:tc>
          <w:tcPr>
            <w:tcW w:w="3098" w:type="dxa"/>
            <w:vAlign w:val="top"/>
          </w:tcPr>
          <w:p>
            <w:pPr>
              <w:pStyle w:val="0"/>
              <w:spacing w:line="300" w:lineRule="exact"/>
              <w:rPr>
                <w:rFonts w:hint="default" w:ascii="HG丸ｺﾞｼｯｸM-PRO" w:hAnsi="HG丸ｺﾞｼｯｸM-PRO" w:eastAsia="HG丸ｺﾞｼｯｸM-PRO"/>
                <w:color w:val="auto"/>
                <w:kern w:val="0"/>
                <w:sz w:val="18"/>
              </w:rPr>
            </w:pPr>
            <w:r>
              <w:rPr>
                <w:rFonts w:hint="eastAsia" w:ascii="HG丸ｺﾞｼｯｸM-PRO" w:hAnsi="HG丸ｺﾞｼｯｸM-PRO" w:eastAsia="HG丸ｺﾞｼｯｸM-PRO"/>
                <w:color w:val="auto"/>
                <w:kern w:val="0"/>
                <w:sz w:val="18"/>
              </w:rPr>
              <w:t>パイプ式折りたたみ式簡易トイレ</w:t>
            </w:r>
          </w:p>
        </w:tc>
        <w:tc>
          <w:tcPr>
            <w:tcW w:w="3099" w:type="dxa"/>
            <w:vAlign w:val="top"/>
          </w:tcPr>
          <w:p>
            <w:pPr>
              <w:pStyle w:val="0"/>
              <w:spacing w:line="300" w:lineRule="exact"/>
              <w:jc w:val="center"/>
              <w:rPr>
                <w:rFonts w:hint="default" w:ascii="HG丸ｺﾞｼｯｸM-PRO" w:hAnsi="HG丸ｺﾞｼｯｸM-PRO" w:eastAsia="HG丸ｺﾞｼｯｸM-PRO"/>
                <w:color w:val="auto"/>
                <w:kern w:val="0"/>
              </w:rPr>
            </w:pPr>
            <w:r>
              <w:rPr>
                <w:rFonts w:hint="eastAsia" w:ascii="HG丸ｺﾞｼｯｸM-PRO" w:hAnsi="HG丸ｺﾞｼｯｸM-PRO" w:eastAsia="HG丸ｺﾞｼｯｸM-PRO"/>
                <w:color w:val="auto"/>
                <w:kern w:val="0"/>
              </w:rPr>
              <w:t>４５基</w:t>
            </w:r>
          </w:p>
        </w:tc>
      </w:tr>
    </w:tbl>
    <w:p>
      <w:pPr>
        <w:pStyle w:val="0"/>
        <w:rPr>
          <w:rFonts w:hint="default" w:ascii="HG丸ｺﾞｼｯｸM-PRO" w:hAnsi="HG丸ｺﾞｼｯｸM-PRO" w:eastAsia="HG丸ｺﾞｼｯｸM-PRO"/>
          <w:color w:val="auto"/>
        </w:rPr>
      </w:pPr>
      <w:r>
        <w:rPr>
          <w:rFonts w:hint="eastAsia"/>
          <w:color w:val="auto"/>
        </w:rPr>
        <w:t>　　　　　　　　</w:t>
      </w:r>
      <w:r>
        <w:rPr>
          <w:rFonts w:hint="eastAsia" w:ascii="HG丸ｺﾞｼｯｸM-PRO" w:hAnsi="HG丸ｺﾞｼｯｸM-PRO" w:eastAsia="HG丸ｺﾞｼｯｸM-PRO"/>
          <w:color w:val="auto"/>
          <w:sz w:val="18"/>
        </w:rPr>
        <w:t>　資料：安全対策課（令和４年２月時点）</w:t>
      </w:r>
    </w:p>
    <w:p>
      <w:pPr>
        <w:pStyle w:val="0"/>
        <w:rPr>
          <w:rFonts w:hint="default"/>
        </w:r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第３節　し尿等の収集運搬・処理</w:t>
            </w:r>
          </w:p>
        </w:tc>
      </w:tr>
    </w:tbl>
    <w:p>
      <w:pPr>
        <w:pStyle w:val="3"/>
        <w:numPr>
          <w:ilvl w:val="2"/>
          <w:numId w:val="5"/>
        </w:numPr>
        <w:spacing w:before="120" w:beforeLines="0" w:beforeAutospacing="0"/>
        <w:rPr>
          <w:rFonts w:hint="default"/>
        </w:rPr>
      </w:pPr>
      <w:r>
        <w:rPr>
          <w:rFonts w:hint="eastAsia"/>
        </w:rPr>
        <w:t>災害時</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【収集運搬体制の構築】</w:t>
      </w:r>
    </w:p>
    <w:p>
      <w:pPr>
        <w:pStyle w:val="15"/>
        <w:numPr>
          <w:ilvl w:val="0"/>
          <w:numId w:val="4"/>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公共施設部：廃棄物担当は、携帯トイレ・簡易トイレやし尿の収集運搬体制を確立する。</w:t>
      </w:r>
    </w:p>
    <w:p>
      <w:pPr>
        <w:pStyle w:val="15"/>
        <w:numPr>
          <w:ilvl w:val="0"/>
          <w:numId w:val="4"/>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携帯トイレ・簡易トイレは平ボディ車で収集運搬する。パッカー車での収集は巻き込み時にし尿の漏れが懸念されるため、使用を避ける。なお、携帯トイレ・簡易トイレを人力で積み込めない場合は、クラム車等の必要な重機を確保する。</w:t>
      </w:r>
    </w:p>
    <w:p>
      <w:pPr>
        <w:pStyle w:val="15"/>
        <w:numPr>
          <w:ilvl w:val="0"/>
          <w:numId w:val="4"/>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し尿はバキューム車により収集運搬する。</w:t>
      </w:r>
    </w:p>
    <w:p>
      <w:pPr>
        <w:pStyle w:val="15"/>
        <w:numPr>
          <w:ilvl w:val="0"/>
          <w:numId w:val="4"/>
        </w:numPr>
        <w:ind w:leftChars="0"/>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し尿の収集運搬に必要な人員及び車両の確保を環境アクアプラントへ依頼する。</w:t>
      </w:r>
    </w:p>
    <w:p>
      <w:pPr>
        <w:pStyle w:val="15"/>
        <w:ind w:left="780" w:leftChars="0"/>
        <w:rPr>
          <w:rFonts w:hint="default" w:ascii="HG丸ｺﾞｼｯｸM-PRO" w:hAnsi="HG丸ｺﾞｼｯｸM-PRO" w:eastAsia="HG丸ｺﾞｼｯｸM-PRO"/>
          <w:color w:val="auto"/>
        </w:rPr>
      </w:pPr>
    </w:p>
    <w:p>
      <w:pPr>
        <w:pStyle w:val="0"/>
        <w:ind w:firstLine="21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【作業計画の策定】</w:t>
      </w:r>
    </w:p>
    <w:p>
      <w:pPr>
        <w:pStyle w:val="15"/>
        <w:numPr>
          <w:ilvl w:val="0"/>
          <w:numId w:val="4"/>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し尿収集必要量を推計する。</w:t>
      </w:r>
    </w:p>
    <w:p>
      <w:pPr>
        <w:pStyle w:val="15"/>
        <w:numPr>
          <w:ilvl w:val="0"/>
          <w:numId w:val="4"/>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し尿収集必要量及び避難所の設置数・場所に基づき、環境アクアプラントとその委託業者と協議した上で収集ルートを決定し、作業計画を検討する。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作業時間は、確保できた人員、車両及び道路状況等により、平時よりも時間を要することを想定した計画とする。</w:t>
      </w:r>
    </w:p>
    <w:p>
      <w:pPr>
        <w:pStyle w:val="0"/>
        <w:rPr>
          <w:rFonts w:hint="default"/>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【バキューム車による収集運搬の実施、処理先への搬入】</w:t>
      </w:r>
    </w:p>
    <w:p>
      <w:pPr>
        <w:pStyle w:val="15"/>
        <w:numPr>
          <w:ilvl w:val="0"/>
          <w:numId w:val="4"/>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作業計画に基づき収集運搬を環境アクアプラントへ依頼する。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バキューム車で収集したし尿はし尿処理施設で処理する。</w:t>
      </w:r>
    </w:p>
    <w:p>
      <w:pPr>
        <w:pStyle w:val="15"/>
        <w:numPr>
          <w:ilvl w:val="0"/>
          <w:numId w:val="4"/>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rPr>
        <w:t>し尿処理施設が操業再開しておらず、下水処理施設が稼働している場合には、（大網白里市下水道課が策定した「千葉県大網白里市下水道業務継続計画」に基づき）し尿をバキューム車にて下</w:t>
      </w:r>
      <w:r>
        <w:rPr>
          <w:rFonts w:hint="eastAsia" w:ascii="HG丸ｺﾞｼｯｸM-PRO" w:hAnsi="HG丸ｺﾞｼｯｸM-PRO" w:eastAsia="HG丸ｺﾞｼｯｸM-PRO"/>
          <w:color w:val="auto"/>
        </w:rPr>
        <w:t>水処理施設へ運搬もしくはマンホールに直接投入して下水処理するため、下水道部局と地域づくり課で速やかに調整する。（国土交通省下水道部「下水道</w:t>
      </w:r>
      <w:r>
        <w:rPr>
          <w:rFonts w:hint="eastAsia" w:ascii="HG丸ｺﾞｼｯｸM-PRO" w:hAnsi="HG丸ｺﾞｼｯｸM-PRO" w:eastAsia="HG丸ｺﾞｼｯｸM-PRO"/>
          <w:color w:val="auto"/>
        </w:rPr>
        <w:t>BCP</w:t>
      </w:r>
      <w:r>
        <w:rPr>
          <w:rFonts w:hint="eastAsia" w:ascii="HG丸ｺﾞｼｯｸM-PRO" w:hAnsi="HG丸ｺﾞｼｯｸM-PRO" w:eastAsia="HG丸ｺﾞｼｯｸM-PRO"/>
          <w:color w:val="auto"/>
        </w:rPr>
        <w:t>策定マニュアル２０１７年版（地震・津波編）」を参照）</w:t>
      </w:r>
    </w:p>
    <w:p>
      <w:pPr>
        <w:pStyle w:val="15"/>
        <w:numPr>
          <w:ilvl w:val="0"/>
          <w:numId w:val="4"/>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し尿処理施設及び下水処理施設でも処理できない場合については、環境アクアプラントと協議した上で県及び近隣市町村へ支援要請を行う。</w:t>
      </w:r>
    </w:p>
    <w:p>
      <w:pPr>
        <w:pStyle w:val="15"/>
        <w:ind w:left="1500" w:leftChars="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【携帯トイレ・簡易トイレの収集運搬の実施、処理先への搬入】</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作業計画に基づき収集運搬を行う。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平ボディ車で収集した携帯トイレ・簡易トイレは、必要に応じて試験焼却を行い、焼却施設で焼却処理する。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焼却施設が操業再開しておらず、処理できない場合等については、県及び近隣市町村へ支援要請を行う。</w:t>
      </w:r>
    </w:p>
    <w:p>
      <w:pPr>
        <w:pStyle w:val="15"/>
        <w:ind w:left="780" w:leftChars="0"/>
        <w:rPr>
          <w:rFonts w:hint="default" w:ascii="HG丸ｺﾞｼｯｸM-PRO" w:hAnsi="HG丸ｺﾞｼｯｸM-PRO" w:eastAsia="HG丸ｺﾞｼｯｸM-PRO"/>
        </w:rPr>
      </w:pPr>
    </w:p>
    <w:p>
      <w:pPr>
        <w:pStyle w:val="3"/>
        <w:rPr>
          <w:rFonts w:hint="default"/>
          <w:color w:val="000000"/>
          <w:kern w:val="0"/>
        </w:rPr>
      </w:pPr>
      <w:r>
        <w:rPr>
          <w:rFonts w:hint="eastAsia"/>
          <w:color w:val="000000"/>
          <w:kern w:val="0"/>
        </w:rPr>
        <w:t>平時</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避難所の数及び場所を把握しておく。</w:t>
      </w:r>
    </w:p>
    <w:p>
      <w:pPr>
        <w:pStyle w:val="15"/>
        <w:numPr>
          <w:ilvl w:val="0"/>
          <w:numId w:val="4"/>
        </w:numPr>
        <w:ind w:leftChars="0"/>
        <w:rPr>
          <w:rFonts w:hint="default"/>
          <w:color w:val="auto"/>
        </w:rPr>
      </w:pPr>
      <w:r>
        <w:rPr>
          <w:rFonts w:hint="eastAsia" w:ascii="HG丸ｺﾞｼｯｸM-PRO" w:hAnsi="HG丸ｺﾞｼｯｸM-PRO" w:eastAsia="HG丸ｺﾞｼｯｸM-PRO"/>
        </w:rPr>
        <w:t>収集運搬車両の</w:t>
      </w:r>
      <w:r>
        <w:rPr>
          <w:rFonts w:hint="eastAsia" w:ascii="HG丸ｺﾞｼｯｸM-PRO" w:hAnsi="HG丸ｺﾞｼｯｸM-PRO" w:eastAsia="HG丸ｺﾞｼｯｸM-PRO"/>
          <w:color w:val="auto"/>
        </w:rPr>
        <w:t>台数、委託先等の情報を整理し、収集運搬車両の調達方法を確認しておく。</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auto"/>
        </w:rPr>
        <w:t>災害時における処理先・収集運搬業者への連絡方法を確認しておく。災害時は、避難所の開設・閉鎖、避難者数、道路被害・復旧状況等が日々変化するため、環境アクアプラント及び収集運搬</w:t>
      </w:r>
      <w:r>
        <w:rPr>
          <w:rFonts w:hint="eastAsia" w:ascii="HG丸ｺﾞｼｯｸM-PRO" w:hAnsi="HG丸ｺﾞｼｯｸM-PRO" w:eastAsia="HG丸ｺﾞｼｯｸM-PRO"/>
        </w:rPr>
        <w:t>業者と頻繁に連絡をとる必要があることから、災害時における連絡方法を決定しておく。</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図表５－３　し尿等の収集運搬車両の台数（令和</w:t>
            </w:r>
            <w:r>
              <w:rPr>
                <w:rFonts w:hint="eastAsia" w:ascii="HG丸ｺﾞｼｯｸM-PRO" w:hAnsi="HG丸ｺﾞｼｯｸM-PRO" w:eastAsia="HG丸ｺﾞｼｯｸM-PRO"/>
                <w:color w:val="auto"/>
              </w:rPr>
              <w:t>４年２月</w:t>
            </w:r>
            <w:r>
              <w:rPr>
                <w:rFonts w:hint="eastAsia" w:ascii="HG丸ｺﾞｼｯｸM-PRO" w:hAnsi="HG丸ｺﾞｼｯｸM-PRO" w:eastAsia="HG丸ｺﾞｼｯｸM-PRO"/>
              </w:rPr>
              <w:t>末時点）</w:t>
            </w:r>
          </w:p>
        </w:tc>
      </w:tr>
    </w:tbl>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単位：台</w:t>
      </w:r>
    </w:p>
    <w:tbl>
      <w:tblPr>
        <w:tblStyle w:val="11"/>
        <w:tblW w:w="9435" w:type="dxa"/>
        <w:jc w:val="center"/>
        <w:tblInd w:w="0" w:type="dxa"/>
        <w:tblLayout w:type="fixed"/>
        <w:tblCellMar>
          <w:left w:w="0" w:type="dxa"/>
          <w:right w:w="0" w:type="dxa"/>
        </w:tblCellMar>
        <w:tblLook w:firstRow="1" w:lastRow="0" w:firstColumn="1" w:lastColumn="0" w:noHBand="0" w:noVBand="1" w:val="04A0"/>
      </w:tblPr>
      <w:tblGrid>
        <w:gridCol w:w="1826"/>
        <w:gridCol w:w="1593"/>
        <w:gridCol w:w="1467"/>
        <w:gridCol w:w="1571"/>
        <w:gridCol w:w="1489"/>
        <w:gridCol w:w="1489"/>
      </w:tblGrid>
      <w:tr>
        <w:trPr>
          <w:trHeight w:val="450" w:hRule="atLeast"/>
        </w:trPr>
        <w:tc>
          <w:tcPr>
            <w:tcW w:w="3419" w:type="dxa"/>
            <w:gridSpan w:val="2"/>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C0C0C0"/>
            <w:tcMar>
              <w:top w:w="0" w:type="dxa"/>
              <w:left w:w="0"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車両</w:t>
            </w:r>
          </w:p>
        </w:tc>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0C0C0"/>
            <w:tcMar>
              <w:top w:w="0" w:type="dxa"/>
              <w:left w:w="5"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使用燃料</w:t>
            </w:r>
          </w:p>
        </w:tc>
        <w:tc>
          <w:tcPr>
            <w:tcW w:w="157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0C0C0"/>
            <w:tcMar>
              <w:top w:w="0" w:type="dxa"/>
              <w:left w:w="5"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行政組合</w:t>
            </w:r>
            <w:r>
              <w:rPr>
                <w:rFonts w:hint="default" w:ascii="HG丸ｺﾞｼｯｸM-PRO" w:hAnsi="HG丸ｺﾞｼｯｸM-PRO" w:eastAsia="HG丸ｺﾞｼｯｸM-PRO"/>
              </w:rPr>
              <w:t>直営</w:t>
            </w:r>
          </w:p>
        </w:tc>
        <w:tc>
          <w:tcPr>
            <w:tcW w:w="1489"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C0C0C0"/>
            <w:tcMar>
              <w:top w:w="0" w:type="dxa"/>
              <w:left w:w="5" w:type="dxa"/>
              <w:bottom w:w="0" w:type="dxa"/>
              <w:right w:w="0" w:type="dxa"/>
            </w:tcMar>
            <w:vAlign w:val="center"/>
          </w:tcPr>
          <w:p>
            <w:pPr>
              <w:pStyle w:val="0"/>
              <w:shd w:val="clear" w:color="auto" w:fill="C0C0C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委託</w:t>
            </w:r>
          </w:p>
        </w:tc>
        <w:tc>
          <w:tcPr>
            <w:tcW w:w="1489"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C0C0C0"/>
            <w:tcMar>
              <w:top w:w="0" w:type="dxa"/>
              <w:left w:w="5" w:type="dxa"/>
              <w:bottom w:w="0" w:type="dxa"/>
              <w:right w:w="0" w:type="dxa"/>
            </w:tcMar>
            <w:vAlign w:val="center"/>
          </w:tcPr>
          <w:p>
            <w:pPr>
              <w:pStyle w:val="0"/>
              <w:shd w:val="clear" w:color="auto" w:fill="C0C0C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許可</w:t>
            </w:r>
          </w:p>
        </w:tc>
      </w:tr>
      <w:tr>
        <w:trPr>
          <w:trHeight w:val="450" w:hRule="atLeast"/>
        </w:trPr>
        <w:tc>
          <w:tcPr>
            <w:tcW w:w="1826" w:type="dxa"/>
            <w:vMerge w:val="restart"/>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し尿・浄化槽汚泥</w:t>
            </w:r>
          </w:p>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収集車</w:t>
            </w:r>
            <w:r>
              <w:rPr>
                <w:rFonts w:hint="default" w:ascii="HG丸ｺﾞｼｯｸM-PRO" w:hAnsi="HG丸ｺﾞｼｯｸM-PRO" w:eastAsia="HG丸ｺﾞｼｯｸM-PRO"/>
                <w:color w:val="auto"/>
              </w:rPr>
              <w:br w:type="textWrapping" w:clear="none"/>
            </w:r>
            <w:r>
              <w:rPr>
                <w:rFonts w:hint="default" w:ascii="HG丸ｺﾞｼｯｸM-PRO" w:hAnsi="HG丸ｺﾞｼｯｸM-PRO" w:eastAsia="HG丸ｺﾞｼｯｸM-PRO"/>
                <w:color w:val="auto"/>
              </w:rPr>
              <w:t>（バキューム車）</w:t>
            </w:r>
          </w:p>
        </w:tc>
        <w:tc>
          <w:tcPr>
            <w:tcW w:w="159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１</w:t>
            </w:r>
            <w:r>
              <w:rPr>
                <w:rFonts w:hint="default" w:ascii="HG丸ｺﾞｼｯｸM-PRO" w:hAnsi="HG丸ｺﾞｼｯｸM-PRO" w:eastAsia="HG丸ｺﾞｼｯｸM-PRO"/>
                <w:color w:val="auto"/>
              </w:rPr>
              <w:t>kl</w:t>
            </w:r>
          </w:p>
        </w:tc>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軽油</w:t>
            </w:r>
          </w:p>
        </w:tc>
        <w:tc>
          <w:tcPr>
            <w:tcW w:w="157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1</w:t>
            </w:r>
          </w:p>
        </w:tc>
      </w:tr>
      <w:tr>
        <w:trPr>
          <w:trHeight w:val="450" w:hRule="atLeast"/>
        </w:trPr>
        <w:tc>
          <w:tcPr>
            <w:tcW w:w="1826"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59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２</w:t>
            </w:r>
            <w:r>
              <w:rPr>
                <w:rFonts w:hint="default" w:ascii="HG丸ｺﾞｼｯｸM-PRO" w:hAnsi="HG丸ｺﾞｼｯｸM-PRO" w:eastAsia="HG丸ｺﾞｼｯｸM-PRO"/>
                <w:color w:val="auto"/>
              </w:rPr>
              <w:t>kl</w:t>
            </w:r>
          </w:p>
        </w:tc>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軽油</w:t>
            </w:r>
          </w:p>
        </w:tc>
        <w:tc>
          <w:tcPr>
            <w:tcW w:w="157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2</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eastAsia" w:ascii="HG丸ｺﾞｼｯｸM-PRO" w:hAnsi="HG丸ｺﾞｼｯｸM-PRO" w:eastAsia="HG丸ｺﾞｼｯｸM-PRO"/>
                <w:color w:val="auto"/>
              </w:rPr>
            </w:pPr>
            <w:r>
              <w:rPr>
                <w:rFonts w:hint="default" w:ascii="HG丸ｺﾞｼｯｸM-PRO" w:hAnsi="HG丸ｺﾞｼｯｸM-PRO" w:eastAsia="HG丸ｺﾞｼｯｸM-PRO"/>
                <w:color w:val="auto"/>
              </w:rPr>
              <w:t>2</w:t>
            </w:r>
          </w:p>
        </w:tc>
      </w:tr>
      <w:tr>
        <w:trPr>
          <w:trHeight w:val="450" w:hRule="atLeast"/>
        </w:trPr>
        <w:tc>
          <w:tcPr>
            <w:tcW w:w="1826"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59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３</w:t>
            </w:r>
            <w:r>
              <w:rPr>
                <w:rFonts w:hint="default" w:ascii="HG丸ｺﾞｼｯｸM-PRO" w:hAnsi="HG丸ｺﾞｼｯｸM-PRO" w:eastAsia="HG丸ｺﾞｼｯｸM-PRO"/>
                <w:color w:val="auto"/>
              </w:rPr>
              <w:t>kl</w:t>
            </w:r>
          </w:p>
        </w:tc>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軽油</w:t>
            </w:r>
          </w:p>
        </w:tc>
        <w:tc>
          <w:tcPr>
            <w:tcW w:w="157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2</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7</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eastAsia" w:ascii="HG丸ｺﾞｼｯｸM-PRO" w:hAnsi="HG丸ｺﾞｼｯｸM-PRO" w:eastAsia="HG丸ｺﾞｼｯｸM-PRO"/>
                <w:color w:val="auto"/>
              </w:rPr>
            </w:pPr>
            <w:r>
              <w:rPr>
                <w:rFonts w:hint="default" w:ascii="HG丸ｺﾞｼｯｸM-PRO" w:hAnsi="HG丸ｺﾞｼｯｸM-PRO" w:eastAsia="HG丸ｺﾞｼｯｸM-PRO"/>
                <w:color w:val="auto"/>
              </w:rPr>
              <w:t>23</w:t>
            </w:r>
          </w:p>
        </w:tc>
      </w:tr>
      <w:tr>
        <w:trPr>
          <w:trHeight w:val="450" w:hRule="atLeast"/>
        </w:trPr>
        <w:tc>
          <w:tcPr>
            <w:tcW w:w="1826"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59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９</w:t>
            </w:r>
            <w:r>
              <w:rPr>
                <w:rFonts w:hint="default" w:ascii="HG丸ｺﾞｼｯｸM-PRO" w:hAnsi="HG丸ｺﾞｼｯｸM-PRO" w:eastAsia="HG丸ｺﾞｼｯｸM-PRO"/>
                <w:color w:val="auto"/>
              </w:rPr>
              <w:t>kl</w:t>
            </w:r>
          </w:p>
        </w:tc>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軽油</w:t>
            </w:r>
          </w:p>
        </w:tc>
        <w:tc>
          <w:tcPr>
            <w:tcW w:w="157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3</w:t>
            </w:r>
          </w:p>
        </w:tc>
      </w:tr>
      <w:tr>
        <w:trPr>
          <w:trHeight w:val="450" w:hRule="atLeast"/>
        </w:trPr>
        <w:tc>
          <w:tcPr>
            <w:tcW w:w="1826"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59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１０</w:t>
            </w:r>
            <w:r>
              <w:rPr>
                <w:rFonts w:hint="default" w:ascii="HG丸ｺﾞｼｯｸM-PRO" w:hAnsi="HG丸ｺﾞｼｯｸM-PRO" w:eastAsia="HG丸ｺﾞｼｯｸM-PRO"/>
                <w:color w:val="auto"/>
              </w:rPr>
              <w:t>kl</w:t>
            </w:r>
          </w:p>
        </w:tc>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軽油</w:t>
            </w:r>
          </w:p>
        </w:tc>
        <w:tc>
          <w:tcPr>
            <w:tcW w:w="157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1</w:t>
            </w:r>
          </w:p>
        </w:tc>
      </w:tr>
      <w:tr>
        <w:trPr>
          <w:trHeight w:val="600" w:hRule="atLeast"/>
        </w:trPr>
        <w:tc>
          <w:tcPr>
            <w:tcW w:w="1826"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color w:val="auto"/>
                <w:sz w:val="22"/>
              </w:rPr>
            </w:pPr>
            <w:r>
              <w:rPr>
                <w:rFonts w:hint="default" w:ascii="HG丸ｺﾞｼｯｸM-PRO" w:hAnsi="HG丸ｺﾞｼｯｸM-PRO" w:eastAsia="HG丸ｺﾞｼｯｸM-PRO"/>
                <w:color w:val="auto"/>
                <w:sz w:val="22"/>
              </w:rPr>
              <w:t>汚泥濃縮車</w:t>
            </w:r>
          </w:p>
        </w:tc>
        <w:tc>
          <w:tcPr>
            <w:tcW w:w="159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1kl</w:t>
            </w:r>
          </w:p>
        </w:tc>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軽油</w:t>
            </w:r>
          </w:p>
        </w:tc>
        <w:tc>
          <w:tcPr>
            <w:tcW w:w="157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　</w:t>
            </w:r>
          </w:p>
        </w:tc>
        <w:tc>
          <w:tcPr>
            <w:tcW w:w="1489"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3</w:t>
            </w:r>
          </w:p>
        </w:tc>
      </w:tr>
    </w:tbl>
    <w:p>
      <w:pPr>
        <w:pStyle w:val="15"/>
        <w:ind w:left="0" w:leftChars="0"/>
        <w:rPr>
          <w:rFonts w:hint="default"/>
          <w:color w:val="auto"/>
        </w:rPr>
      </w:pPr>
      <w:r>
        <w:rPr>
          <w:rFonts w:hint="eastAsia" w:ascii="HG丸ｺﾞｼｯｸM-PRO" w:hAnsi="HG丸ｺﾞｼｯｸM-PRO" w:eastAsia="HG丸ｺﾞｼｯｸM-PRO"/>
          <w:color w:val="auto"/>
        </w:rPr>
        <w:t>※山武郡市広域行政組合管内登録数</w:t>
      </w:r>
    </w:p>
    <w:p>
      <w:pPr>
        <w:pStyle w:val="15"/>
        <w:ind w:left="0" w:leftChars="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図表５－４　し尿等の収集運搬・処理に係る関係者の連絡先</w:t>
            </w:r>
          </w:p>
        </w:tc>
      </w:tr>
    </w:tbl>
    <w:p>
      <w:pPr>
        <w:pStyle w:val="0"/>
        <w:rPr>
          <w:rFonts w:hint="default" w:ascii="HG丸ｺﾞｼｯｸM-PRO" w:hAnsi="HG丸ｺﾞｼｯｸM-PRO" w:eastAsia="HG丸ｺﾞｼｯｸM-PRO"/>
        </w:rPr>
      </w:pPr>
    </w:p>
    <w:tbl>
      <w:tblPr>
        <w:tblStyle w:val="45"/>
        <w:tblW w:w="9644"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058"/>
        <w:gridCol w:w="2100"/>
        <w:gridCol w:w="3045"/>
        <w:gridCol w:w="3441"/>
      </w:tblGrid>
      <w:tr>
        <w:trPr/>
        <w:tc>
          <w:tcPr>
            <w:tcW w:w="1058"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2100"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名称</w:t>
            </w:r>
          </w:p>
        </w:tc>
        <w:tc>
          <w:tcPr>
            <w:tcW w:w="3045"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部署名</w:t>
            </w:r>
          </w:p>
        </w:tc>
        <w:tc>
          <w:tcPr>
            <w:tcW w:w="3441"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連絡先</w:t>
            </w:r>
          </w:p>
        </w:tc>
      </w:tr>
      <w:tr>
        <w:trPr/>
        <w:tc>
          <w:tcPr>
            <w:tcW w:w="105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県内連携</w:t>
            </w:r>
          </w:p>
        </w:tc>
        <w:tc>
          <w:tcPr>
            <w:tcW w:w="210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w:t>
            </w:r>
          </w:p>
        </w:tc>
        <w:tc>
          <w:tcPr>
            <w:tcW w:w="304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環境生活部循環型社会推進課</w:t>
            </w:r>
          </w:p>
        </w:tc>
        <w:tc>
          <w:tcPr>
            <w:tcW w:w="344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tc>
      </w:tr>
      <w:tr>
        <w:trPr/>
        <w:tc>
          <w:tcPr>
            <w:tcW w:w="105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し尿処理</w:t>
            </w:r>
          </w:p>
        </w:tc>
        <w:tc>
          <w:tcPr>
            <w:tcW w:w="210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山武郡市広域</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行政組合</w:t>
            </w:r>
          </w:p>
        </w:tc>
        <w:tc>
          <w:tcPr>
            <w:tcW w:w="304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環境衛生課管理係</w:t>
            </w:r>
          </w:p>
        </w:tc>
        <w:tc>
          <w:tcPr>
            <w:tcW w:w="344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0475-54-0511</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0475-54-0514</w:t>
            </w:r>
          </w:p>
        </w:tc>
      </w:tr>
      <w:tr>
        <w:trPr>
          <w:trHeight w:val="900" w:hRule="atLeast"/>
        </w:trPr>
        <w:tc>
          <w:tcPr>
            <w:tcW w:w="1058"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収集運搬</w:t>
            </w:r>
          </w:p>
        </w:tc>
        <w:tc>
          <w:tcPr>
            <w:tcW w:w="210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一般社団法人</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千葉県環境保全</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センター</w:t>
            </w:r>
          </w:p>
        </w:tc>
        <w:tc>
          <w:tcPr>
            <w:tcW w:w="304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44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c>
          <w:tcPr>
            <w:tcW w:w="1058" w:type="dxa"/>
            <w:vMerge w:val="continue"/>
            <w:vAlign w:val="top"/>
          </w:tcPr>
          <w:p>
            <w:pPr>
              <w:pStyle w:val="0"/>
              <w:rPr>
                <w:rFonts w:hint="default"/>
              </w:rPr>
            </w:pPr>
          </w:p>
        </w:tc>
        <w:tc>
          <w:tcPr>
            <w:tcW w:w="210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山武郡市広域</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行政組合</w:t>
            </w:r>
          </w:p>
        </w:tc>
        <w:tc>
          <w:tcPr>
            <w:tcW w:w="3045" w:type="dxa"/>
            <w:vAlign w:val="top"/>
          </w:tcPr>
          <w:p>
            <w:pPr>
              <w:pStyle w:val="0"/>
              <w:spacing w:line="300" w:lineRule="exact"/>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環境衛生課料金係</w:t>
            </w:r>
          </w:p>
        </w:tc>
        <w:tc>
          <w:tcPr>
            <w:tcW w:w="3441" w:type="dxa"/>
            <w:vAlign w:val="top"/>
          </w:tcPr>
          <w:p>
            <w:pPr>
              <w:pStyle w:val="0"/>
              <w:spacing w:line="300" w:lineRule="exact"/>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電話：</w:t>
            </w:r>
            <w:r>
              <w:rPr>
                <w:rFonts w:hint="eastAsia" w:ascii="HG丸ｺﾞｼｯｸM-PRO" w:hAnsi="HG丸ｺﾞｼｯｸM-PRO" w:eastAsia="HG丸ｺﾞｼｯｸM-PRO"/>
                <w:color w:val="auto"/>
              </w:rPr>
              <w:t>0475-54-0531</w:t>
            </w:r>
          </w:p>
          <w:p>
            <w:pPr>
              <w:pStyle w:val="0"/>
              <w:spacing w:line="300" w:lineRule="exact"/>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FAX</w:t>
            </w:r>
            <w:r>
              <w:rPr>
                <w:rFonts w:hint="eastAsia" w:ascii="HG丸ｺﾞｼｯｸM-PRO" w:hAnsi="HG丸ｺﾞｼｯｸM-PRO" w:eastAsia="HG丸ｺﾞｼｯｸM-PRO"/>
                <w:color w:val="auto"/>
              </w:rPr>
              <w:t>：</w:t>
            </w:r>
            <w:r>
              <w:rPr>
                <w:rFonts w:hint="eastAsia" w:ascii="HG丸ｺﾞｼｯｸM-PRO" w:hAnsi="HG丸ｺﾞｼｯｸM-PRO" w:eastAsia="HG丸ｺﾞｼｯｸM-PRO"/>
                <w:color w:val="auto"/>
              </w:rPr>
              <w:t>0475-54-0514</w:t>
            </w:r>
          </w:p>
        </w:tc>
      </w:tr>
    </w:tbl>
    <w:p>
      <w:pPr>
        <w:pStyle w:val="0"/>
        <w:rPr>
          <w:rFonts w:hint="default" w:ascii="HG丸ｺﾞｼｯｸM-PRO" w:hAnsi="HG丸ｺﾞｼｯｸM-PRO" w:eastAsia="HG丸ｺﾞｼｯｸM-PRO"/>
        </w:rPr>
      </w:pPr>
    </w:p>
    <w:p>
      <w:pPr>
        <w:rPr>
          <w:rFonts w:hint="default" w:ascii="HG丸ｺﾞｼｯｸM-PRO" w:hAnsi="HG丸ｺﾞｼｯｸM-PRO" w:eastAsia="HG丸ｺﾞｼｯｸM-PRO"/>
        </w:rPr>
        <w:sectPr>
          <w:headerReference r:id="rId6" w:type="default"/>
          <w:footerReference r:id="rId7" w:type="default"/>
          <w:pgSz w:w="11906" w:h="16838"/>
          <w:pgMar w:top="1440" w:right="1080" w:bottom="1440" w:left="1080" w:header="851" w:footer="992" w:gutter="0"/>
          <w:cols w:space="720"/>
          <w:textDirection w:val="lrTb"/>
          <w:docGrid w:type="lines" w:linePitch="360"/>
        </w:sect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B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第６章　災害廃棄物の処理</w:t>
            </w:r>
          </w:p>
        </w:tc>
      </w:tr>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第１節　被災者や災害ボランティアへの周知・広報</w:t>
            </w: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災害時におけるごみの排出、収集・運搬方法、仮置場の開設・閉鎖、処理施設の稼動状況等、被災者（外国人を含む）や災害ボランティア、事業者が必要とする情報について、様々な媒体を活用して積極的に周知・広報を行う。</w:t>
      </w:r>
    </w:p>
    <w:p>
      <w:pPr>
        <w:pStyle w:val="23"/>
        <w:rPr>
          <w:rFonts w:hint="default" w:ascii="HG丸ｺﾞｼｯｸM-PRO" w:hAnsi="HG丸ｺﾞｼｯｸM-PRO" w:eastAsia="HG丸ｺﾞｼｯｸM-PRO"/>
        </w:rPr>
      </w:pPr>
      <w:r>
        <w:rPr>
          <w:rFonts w:hint="eastAsia" w:ascii="HG丸ｺﾞｼｯｸM-PRO" w:hAnsi="HG丸ｺﾞｼｯｸM-PRO" w:eastAsia="HG丸ｺﾞｼｯｸM-PRO"/>
        </w:rPr>
        <w:t>また、市民や災害ボランティア、事業者が災害時の廃棄物やその処理に関して知識を醸成できるよう、平時より積極的に普及啓発を行う。</w:t>
      </w:r>
    </w:p>
    <w:p>
      <w:pPr>
        <w:pStyle w:val="0"/>
        <w:rPr>
          <w:rFonts w:hint="default" w:ascii="HG丸ｺﾞｼｯｸM-PRO" w:hAnsi="HG丸ｺﾞｼｯｸM-PRO" w:eastAsia="HG丸ｺﾞｼｯｸM-PRO"/>
          <w:color w:val="000000"/>
          <w:kern w:val="0"/>
        </w:rPr>
      </w:pPr>
    </w:p>
    <w:p>
      <w:pPr>
        <w:pStyle w:val="3"/>
        <w:numPr>
          <w:ilvl w:val="2"/>
          <w:numId w:val="6"/>
        </w:numPr>
        <w:rPr>
          <w:rFonts w:hint="default"/>
          <w:color w:val="000000"/>
          <w:kern w:val="0"/>
        </w:rPr>
      </w:pPr>
      <w:r>
        <w:rPr>
          <w:rFonts w:hint="eastAsia"/>
          <w:color w:val="000000"/>
          <w:kern w:val="0"/>
        </w:rPr>
        <w:t>災害時</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被災地における生活環境の保全、適正かつ円滑・迅速な災害時の廃棄物処理の推進のため、市民や災害ボランティア、事業者に対して効率的に情報伝達が行えるよう、関係他部局（災害対策本部広報班［秘書広報課］）と協議の上、様々な媒体を活用して周知・広報を行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水害時は、浸水被害により自宅内の通信機器が全て使えない状況に陥る市民がいることも想定し、ホームページによる広報だけではなく、避難所への掲示やちらし配布等も行う。</w:t>
      </w:r>
    </w:p>
    <w:p>
      <w:pPr>
        <w:pStyle w:val="0"/>
        <w:rPr>
          <w:rFonts w:hint="default" w:ascii="HG丸ｺﾞｼｯｸM-PRO" w:hAnsi="HG丸ｺﾞｼｯｸM-PRO" w:eastAsia="HG丸ｺﾞｼｯｸM-PRO"/>
          <w:color w:val="000000"/>
          <w:kern w:val="0"/>
        </w:r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　情報提供を行う媒体と情報の内容（例）</w:t>
            </w:r>
          </w:p>
        </w:tc>
      </w:tr>
    </w:tbl>
    <w:p>
      <w:pPr>
        <w:pStyle w:val="0"/>
        <w:rPr>
          <w:rFonts w:hint="default" w:ascii="HG丸ｺﾞｼｯｸM-PRO" w:hAnsi="HG丸ｺﾞｼｯｸM-PRO" w:eastAsia="HG丸ｺﾞｼｯｸM-PRO"/>
          <w:color w:val="000000"/>
          <w:kern w:val="0"/>
        </w:rPr>
      </w:pPr>
    </w:p>
    <w:tbl>
      <w:tblPr>
        <w:tblStyle w:val="45"/>
        <w:tblW w:w="9311" w:type="dxa"/>
        <w:tblInd w:w="426" w:type="dxa"/>
        <w:tblBorders>
          <w:left w:val="none" w:color="auto" w:sz="0" w:space="0"/>
          <w:right w:val="none" w:color="auto" w:sz="0" w:space="0"/>
        </w:tblBorders>
        <w:tblLayout w:type="fixed"/>
        <w:tblLook w:firstRow="1" w:lastRow="0" w:firstColumn="1" w:lastColumn="0" w:noHBand="0" w:noVBand="1" w:val="04A0"/>
      </w:tblPr>
      <w:tblGrid>
        <w:gridCol w:w="2551"/>
        <w:gridCol w:w="6760"/>
      </w:tblGrid>
      <w:tr>
        <w:trPr/>
        <w:tc>
          <w:tcPr>
            <w:tcW w:w="2551"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情報提供の媒体（例）</w:t>
            </w:r>
          </w:p>
        </w:tc>
        <w:tc>
          <w:tcPr>
            <w:tcW w:w="6760"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情報の内容</w:t>
            </w:r>
          </w:p>
        </w:tc>
      </w:tr>
      <w:tr>
        <w:trPr/>
        <w:tc>
          <w:tcPr>
            <w:tcW w:w="2551"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・ホームページ</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rPr>
              <w:t>・広</w:t>
            </w:r>
            <w:r>
              <w:rPr>
                <w:rFonts w:hint="eastAsia" w:ascii="HG丸ｺﾞｼｯｸM-PRO" w:hAnsi="HG丸ｺﾞｼｯｸM-PRO" w:eastAsia="HG丸ｺﾞｼｯｸM-PRO"/>
                <w:color w:val="auto"/>
              </w:rPr>
              <w:t>報紙</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・ツイッター</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・市設掲示板</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・回覧板</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・ケーブルテレビ</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・防災行政無線</w:t>
            </w: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color w:val="auto"/>
              </w:rPr>
              <w:t>・メール配信サービス</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・広報車　等</w:t>
            </w:r>
          </w:p>
        </w:tc>
        <w:tc>
          <w:tcPr>
            <w:tcW w:w="6760"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・生ごみ、資源ごみ等の収集日・収集回数の変更</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・市民が搬入できる仮置場の場所、排出可能時間・期間</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・災害廃棄物の分別の必要性、分別方法、分別の種類、搬入可能物</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・家電４品目の排出方法</w:t>
            </w:r>
          </w:p>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・家庭用ガスボンベ、スプレー缶等の危険物やアスベスト、ＰＣＢ含有機器等の有害廃棄物の取扱方法</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・不法投棄、野焼き等の不適正処理禁止</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・便乗ごみの排出禁止</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・損壊家屋の撤去等に係る申請手続き</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・災害廃棄物に関する問合せ窓口</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・災害ボランティア支援依頼窓口</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・ごみ出しが困難な身体障害者、高齢者への支援方法</w:t>
            </w:r>
          </w:p>
        </w:tc>
      </w:tr>
    </w:tbl>
    <w:p>
      <w:pPr>
        <w:pStyle w:val="0"/>
        <w:rPr>
          <w:rFonts w:hint="default" w:ascii="HG丸ｺﾞｼｯｸM-PRO" w:hAnsi="HG丸ｺﾞｼｯｸM-PRO" w:eastAsia="HG丸ｺﾞｼｯｸM-PRO"/>
          <w:color w:val="000000"/>
          <w:kern w:val="0"/>
        </w:rPr>
      </w:pPr>
    </w:p>
    <w:p>
      <w:pPr>
        <w:pStyle w:val="3"/>
        <w:numPr>
          <w:ilvl w:val="2"/>
          <w:numId w:val="7"/>
        </w:numPr>
        <w:rPr>
          <w:rFonts w:hint="default"/>
          <w:color w:val="000000"/>
          <w:kern w:val="0"/>
        </w:rPr>
      </w:pPr>
      <w:r>
        <w:rPr>
          <w:rFonts w:hint="eastAsia"/>
          <w:color w:val="000000"/>
          <w:kern w:val="0"/>
        </w:rPr>
        <w:t>平時</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災害時においても野焼き、不法投棄は違法行為に当たること、不適正な排出が適正かつ円滑・迅速な処理に支障をきたし、災害時の廃棄物処理の遅れにつながること等について、平時から市民・災害ボランティア・事業者に啓発しておくとともに、発災時に広報する内容の詳細や広報の手段等について検討・準備を進める。</w:t>
      </w:r>
    </w:p>
    <w:p>
      <w:pPr>
        <w:pStyle w:val="0"/>
        <w:widowControl w:val="1"/>
        <w:jc w:val="left"/>
        <w:rPr>
          <w:rFonts w:hint="default" w:ascii="HG丸ｺﾞｼｯｸM-PRO" w:hAnsi="HG丸ｺﾞｼｯｸM-PRO" w:eastAsia="HG丸ｺﾞｼｯｸM-PRO"/>
          <w:color w:val="000000"/>
          <w:kern w:val="0"/>
        </w:rPr>
      </w:pPr>
      <w:r>
        <w:rPr>
          <w:rFonts w:hint="default" w:ascii="HG丸ｺﾞｼｯｸM-PRO" w:hAnsi="HG丸ｺﾞｼｯｸM-PRO" w:eastAsia="HG丸ｺﾞｼｯｸM-PRO"/>
          <w:color w:val="000000"/>
          <w:kern w:val="0"/>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第２節　災害廃棄物等の発生量の推計</w:t>
            </w:r>
          </w:p>
        </w:tc>
      </w:tr>
    </w:tbl>
    <w:p>
      <w:pPr>
        <w:pStyle w:val="3"/>
        <w:numPr>
          <w:ilvl w:val="2"/>
          <w:numId w:val="8"/>
        </w:numPr>
        <w:rPr>
          <w:rFonts w:hint="default"/>
        </w:rPr>
      </w:pPr>
      <w:r>
        <w:rPr>
          <w:rFonts w:hint="eastAsia"/>
        </w:rPr>
        <w:t>災害時</w:t>
      </w:r>
    </w:p>
    <w:p>
      <w:pPr>
        <w:pStyle w:val="0"/>
        <w:autoSpaceDE w:val="0"/>
        <w:autoSpaceDN w:val="0"/>
        <w:adjustRightInd w:val="0"/>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w:t>
      </w:r>
      <w:r>
        <w:rPr>
          <w:rFonts w:hint="eastAsia" w:ascii="HG丸ｺﾞｼｯｸM-PRO" w:hAnsi="HG丸ｺﾞｼｯｸM-PRO" w:eastAsia="HG丸ｺﾞｼｯｸM-PRO"/>
          <w:color w:val="000000"/>
          <w:kern w:val="0"/>
        </w:rPr>
        <w:t>災害廃棄物発生量の推計のための被害情報の把握</w:t>
      </w:r>
      <w:r>
        <w:rPr>
          <w:rFonts w:hint="eastAsia" w:ascii="HG丸ｺﾞｼｯｸM-PRO" w:hAnsi="HG丸ｺﾞｼｯｸM-PRO" w:eastAsia="HG丸ｺﾞｼｯｸM-PRO"/>
        </w:rPr>
        <w:t>】</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建物の全壊・半壊棟数等の被害情報を把握する。</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県や専門機関から提供される情報を活用する。</w:t>
      </w:r>
    </w:p>
    <w:p>
      <w:pPr>
        <w:pStyle w:val="0"/>
        <w:rPr>
          <w:rFonts w:hint="default" w:ascii="HG丸ｺﾞｼｯｸM-PRO" w:hAnsi="HG丸ｺﾞｼｯｸM-PRO" w:eastAsia="HG丸ｺﾞｼｯｸM-PRO"/>
          <w:color w:val="000000"/>
          <w:kern w:val="0"/>
        </w:rPr>
      </w:pPr>
    </w:p>
    <w:p>
      <w:pPr>
        <w:pStyle w:val="0"/>
        <w:autoSpaceDE w:val="0"/>
        <w:autoSpaceDN w:val="0"/>
        <w:adjustRightInd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【災害廃棄物の発生量の推計方法】</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被害情報（建物の被害棟数）と災害廃棄物の発生原単位、種類別割合を用いて発生量を推計する。</w:t>
      </w:r>
    </w:p>
    <w:p>
      <w:pPr>
        <w:pStyle w:val="0"/>
        <w:autoSpaceDE w:val="0"/>
        <w:autoSpaceDN w:val="0"/>
        <w:adjustRightInd w:val="0"/>
        <w:ind w:firstLine="840" w:firstLineChars="400"/>
        <w:jc w:val="left"/>
        <w:rPr>
          <w:rFonts w:hint="default" w:ascii="HG丸ｺﾞｼｯｸM-PRO" w:hAnsi="HG丸ｺﾞｼｯｸM-PRO" w:eastAsia="HG丸ｺﾞｼｯｸM-PRO"/>
          <w:color w:val="000000"/>
          <w:kern w:val="0"/>
          <w:bdr w:val="single" w:color="auto" w:sz="4" w:space="0"/>
        </w:rPr>
      </w:pPr>
      <w:r>
        <w:rPr>
          <w:rFonts w:hint="eastAsia" w:ascii="HG丸ｺﾞｼｯｸM-PRO" w:hAnsi="HG丸ｺﾞｼｯｸM-PRO" w:eastAsia="HG丸ｺﾞｼｯｸM-PRO"/>
          <w:color w:val="000000"/>
          <w:kern w:val="0"/>
          <w:bdr w:val="single" w:color="auto" w:sz="4" w:space="0"/>
        </w:rPr>
        <w:t>災害廃棄物の発生量＝被害情報（建物の被害棟数）×発生原単位×種類別割合</w:t>
      </w:r>
    </w:p>
    <w:p>
      <w:pPr>
        <w:pStyle w:val="0"/>
        <w:rPr>
          <w:rFonts w:hint="default" w:ascii="ＭＳ 明朝" w:hAnsi="ＭＳ 明朝"/>
          <w:color w:val="000000"/>
          <w:kern w:val="0"/>
        </w:rPr>
      </w:pPr>
    </w:p>
    <w:p>
      <w:pPr>
        <w:pStyle w:val="0"/>
        <w:autoSpaceDE w:val="0"/>
        <w:autoSpaceDN w:val="0"/>
        <w:adjustRightInd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【災害廃棄物の発生量の見直し】</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災害廃棄物の発生量は、災害廃棄物の適正かつ円滑・迅速な処理を進めるうえでの基礎的な資料となり、災害の種類やタイミングに応じて推計方法を選択、活用することが重要である。</w:t>
      </w:r>
    </w:p>
    <w:p>
      <w:pPr>
        <w:pStyle w:val="15"/>
        <w:widowControl w:val="1"/>
        <w:numPr>
          <w:ilvl w:val="0"/>
          <w:numId w:val="4"/>
        </w:numPr>
        <w:ind w:leftChars="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図表６－２では発災前と発災後のフェーズで災害廃棄物の発生量を算定する際に活用ができるデータを整理している。</w:t>
      </w:r>
      <w:r>
        <w:rPr>
          <w:rFonts w:hint="eastAsia" w:ascii="HG丸ｺﾞｼｯｸM-PRO" w:hAnsi="HG丸ｺﾞｼｯｸM-PRO" w:eastAsia="HG丸ｺﾞｼｯｸM-PRO"/>
          <w:color w:val="000000"/>
          <w:kern w:val="0"/>
        </w:rPr>
        <w:t>建物の被害棟数の情報は、時間の経過とともに変わる。台貫（トラックスケール）での計量、仮置場内の測量等による実績値を用いて、発生量を見直す。</w:t>
      </w:r>
    </w:p>
    <w:p>
      <w:pPr>
        <w:pStyle w:val="0"/>
        <w:widowControl w:val="1"/>
        <w:jc w:val="left"/>
        <w:rPr>
          <w:rFonts w:hint="default" w:ascii="ＭＳ 明朝" w:hAnsi="ＭＳ 明朝"/>
          <w:color w:val="000000"/>
          <w:kern w:val="0"/>
        </w:r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図表６－２　災害フェーズに応じた災害廃棄物の発生量の推計</w:t>
            </w:r>
          </w:p>
        </w:tc>
      </w:tr>
    </w:tbl>
    <w:p>
      <w:pPr>
        <w:pStyle w:val="0"/>
        <w:rPr>
          <w:rFonts w:hint="default" w:ascii="HG丸ｺﾞｼｯｸM-PRO" w:hAnsi="HG丸ｺﾞｼｯｸM-PRO" w:eastAsia="HG丸ｺﾞｼｯｸM-PRO"/>
          <w:color w:val="000000"/>
          <w:kern w:val="0"/>
        </w:rPr>
      </w:pPr>
    </w:p>
    <w:p>
      <w:pPr>
        <w:pStyle w:val="0"/>
        <w:jc w:val="center"/>
        <w:rPr>
          <w:rFonts w:hint="default" w:ascii="HG丸ｺﾞｼｯｸM-PRO" w:hAnsi="HG丸ｺﾞｼｯｸM-PRO" w:eastAsia="HG丸ｺﾞｼｯｸM-PRO"/>
          <w:color w:val="000000"/>
          <w:kern w:val="0"/>
        </w:rPr>
      </w:pPr>
      <w:r>
        <w:rPr>
          <w:rFonts w:hint="eastAsia"/>
        </w:rPr>
        <w:drawing>
          <wp:inline distT="0" distB="0" distL="0" distR="0">
            <wp:extent cx="6188710" cy="4018280"/>
            <wp:effectExtent l="0" t="0" r="0" b="0"/>
            <wp:docPr id="1026" name="Picture 1"/>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0"/>
                    <a:stretch>
                      <a:fillRect/>
                    </a:stretch>
                  </pic:blipFill>
                  <pic:spPr>
                    <a:xfrm>
                      <a:off x="0" y="0"/>
                      <a:ext cx="6188710" cy="4018280"/>
                    </a:xfrm>
                    <a:prstGeom prst="rect">
                      <a:avLst/>
                    </a:prstGeom>
                    <a:noFill/>
                    <a:ln>
                      <a:noFill/>
                    </a:ln>
                  </pic:spPr>
                </pic:pic>
              </a:graphicData>
            </a:graphic>
          </wp:inline>
        </w:drawing>
      </w:r>
    </w:p>
    <w:p>
      <w:pPr>
        <w:pStyle w:val="0"/>
        <w:rPr>
          <w:rFonts w:hint="default" w:ascii="HG丸ｺﾞｼｯｸM-PRO" w:hAnsi="HG丸ｺﾞｼｯｸM-PRO" w:eastAsia="HG丸ｺﾞｼｯｸM-PRO"/>
          <w:color w:val="000000"/>
          <w:kern w:val="0"/>
        </w:rPr>
      </w:pPr>
    </w:p>
    <w:p>
      <w:pPr>
        <w:pStyle w:val="3"/>
        <w:rPr>
          <w:rFonts w:hint="default"/>
          <w:color w:val="000000"/>
          <w:kern w:val="0"/>
        </w:rPr>
      </w:pPr>
      <w:r>
        <w:rPr>
          <w:rFonts w:hint="eastAsia"/>
          <w:color w:val="000000"/>
          <w:kern w:val="0"/>
        </w:rPr>
        <w:t>平時</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被害想定に基づき災害廃棄物等の発生量を推計する。</w:t>
      </w:r>
      <w:r>
        <w:rPr>
          <w:rFonts w:hint="eastAsia" w:ascii="HG丸ｺﾞｼｯｸM-PRO" w:hAnsi="HG丸ｺﾞｼｯｸM-PRO" w:eastAsia="HG丸ｺﾞｼｯｸM-PRO"/>
        </w:rPr>
        <w:t>千葉県北西部直下地震</w:t>
      </w:r>
      <w:r>
        <w:rPr>
          <w:rFonts w:hint="eastAsia" w:ascii="HG丸ｺﾞｼｯｸM-PRO" w:hAnsi="HG丸ｺﾞｼｯｸM-PRO" w:eastAsia="HG丸ｺﾞｼｯｸM-PRO"/>
          <w:color w:val="000000"/>
          <w:kern w:val="0"/>
        </w:rPr>
        <w:t>に伴う災害廃棄物等の発生量は、図表１－８に示したとおりである。なお、発生量の推計方法、発生原単位及び種類別割合は巻末資料を参照のこと。</w:t>
      </w:r>
    </w:p>
    <w:p>
      <w:pPr>
        <w:pStyle w:val="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第３節　片付けごみの回収</w:t>
            </w:r>
          </w:p>
        </w:tc>
      </w:tr>
    </w:tbl>
    <w:p>
      <w:pPr>
        <w:pStyle w:val="3"/>
        <w:numPr>
          <w:ilvl w:val="2"/>
          <w:numId w:val="9"/>
        </w:numPr>
        <w:rPr>
          <w:rFonts w:hint="default"/>
        </w:rPr>
      </w:pPr>
      <w:r>
        <w:rPr>
          <w:rFonts w:hint="eastAsia"/>
        </w:rPr>
        <w:t>災害時</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【片付けごみの回収戦略】</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災害の種類によって片付けごみの排出時期は異なるが、水害の場合は水が引いた直後からすぐに自宅の片付けが開始されることから、すぐに片付けごみが排出される。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片付けごみは本市が設置・管理する仮置場へ市民にできるだけ搬入してもらうものとし、発災直後から仮置場を設置する。片付けごみのステーション回収は行わない。</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ごみ出しができない高齢者等の災害弱者に対しては、災害ボランティアによる支援や状況に応じて本市による戸別回収を検討する。</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【仮置場の設置】</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次節の「第４節</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仮置場」を参照のこと。</w:t>
      </w:r>
    </w:p>
    <w:p>
      <w:pPr>
        <w:pStyle w:val="0"/>
        <w:ind w:firstLine="210" w:firstLineChars="10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【収集運搬車両の確保】</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ごみ出しができない高齢者等の災害弱者等が排出する片付けごみを回収するための車両を確保する。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仮置場が逼迫し、万一、身近な空地や道路脇等に片付けごみが自然発生的に集積された無人の集積所（いわゆる勝手仮置場）が発生した場合は、これを回収するための車両の確保を行う。勝手仮置場では片付けごみが混合状態になっていることを前提とすることが必要であり、回転式のパッカー車では回収が難しいため、プレス式のパッカー車や平ボディ車を準備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準備する車両は、大型車の方が運搬効率は良いが、小型車でないと通行できない道路もあるため、勝手仮置場の設置場所に応じた大きさの車両を確保する。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収集運搬車両等が不足する場合は、近隣市町村や県、</w:t>
      </w:r>
      <w:r>
        <w:rPr>
          <w:rFonts w:hint="eastAsia" w:ascii="HG丸ｺﾞｼｯｸM-PRO" w:hAnsi="HG丸ｺﾞｼｯｸM-PRO" w:eastAsia="HG丸ｺﾞｼｯｸM-PRO"/>
        </w:rPr>
        <w:t>D.Waste-Net</w:t>
      </w:r>
      <w:r>
        <w:rPr>
          <w:rFonts w:hint="eastAsia" w:ascii="HG丸ｺﾞｼｯｸM-PRO" w:hAnsi="HG丸ｺﾞｼｯｸM-PRO" w:eastAsia="HG丸ｺﾞｼｯｸM-PRO"/>
        </w:rPr>
        <w:t>への広域支援要請、関東地域ブロックにおける災害廃棄物対策行動計画の枠組</w:t>
      </w:r>
      <w:r>
        <w:rPr>
          <w:rFonts w:hint="eastAsia" w:ascii="HG丸ｺﾞｼｯｸM-PRO" w:hAnsi="HG丸ｺﾞｼｯｸM-PRO" w:eastAsia="HG丸ｺﾞｼｯｸM-PRO"/>
          <w:color w:val="auto"/>
        </w:rPr>
        <w:t>み、受援計画等に基づき、収集運搬車両と人員に係る支援要請を行う。支援要請に当たっては、支援</w:t>
      </w:r>
      <w:r>
        <w:rPr>
          <w:rFonts w:hint="eastAsia" w:ascii="HG丸ｺﾞｼｯｸM-PRO" w:hAnsi="HG丸ｺﾞｼｯｸM-PRO" w:eastAsia="HG丸ｺﾞｼｯｸM-PRO"/>
        </w:rPr>
        <w:t>を必要とする収集運搬車両の種類と台数、支援を必要とする期間を連絡する。</w:t>
      </w:r>
    </w:p>
    <w:p>
      <w:pPr>
        <w:pStyle w:val="0"/>
        <w:ind w:firstLine="210" w:firstLineChars="10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【収集運搬ルートの決定】</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道路の被災状況や交通渋滞を考慮した効率的な収集運搬ルートを決定する。ルートの検討に当たっては、支援者を交えた調整を行う。</w:t>
      </w:r>
    </w:p>
    <w:p>
      <w:pPr>
        <w:pStyle w:val="0"/>
        <w:numPr>
          <w:ilvl w:val="0"/>
          <w:numId w:val="4"/>
        </w:numPr>
        <w:rPr>
          <w:rFonts w:hint="default" w:ascii="HG丸ｺﾞｼｯｸM-PRO" w:hAnsi="HG丸ｺﾞｼｯｸM-PRO" w:eastAsia="HG丸ｺﾞｼｯｸM-PRO"/>
        </w:rPr>
      </w:pPr>
      <w:r>
        <w:rPr>
          <w:rFonts w:hint="eastAsia"/>
        </w:rPr>
        <w:br w:type="page"/>
      </w:r>
    </w:p>
    <w:p>
      <w:pPr>
        <w:pStyle w:val="3"/>
        <w:rPr>
          <w:rFonts w:hint="default"/>
        </w:rPr>
      </w:pPr>
      <w:r>
        <w:rPr>
          <w:rFonts w:hint="eastAsia"/>
        </w:rPr>
        <w:t>平時</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【収集運搬車両の確保・連絡体制】</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本市及び事業者が所有する収集運搬車両の台数を把握する。パッカー車だけではなく、平ボディ車の台数も把握する。</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収集運搬に係る連絡体制について、関係者の連絡先一覧を作成し、随時更新・共有する。</w:t>
      </w:r>
    </w:p>
    <w:p>
      <w:pPr>
        <w:pStyle w:val="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図表６－３　片付けごみの収集運搬車両の台数（令和</w:t>
            </w:r>
            <w:r>
              <w:rPr>
                <w:rFonts w:hint="eastAsia" w:ascii="HG丸ｺﾞｼｯｸM-PRO" w:hAnsi="HG丸ｺﾞｼｯｸM-PRO" w:eastAsia="HG丸ｺﾞｼｯｸM-PRO"/>
                <w:color w:val="auto"/>
              </w:rPr>
              <w:t>４年３月</w:t>
            </w:r>
            <w:r>
              <w:rPr>
                <w:rFonts w:hint="eastAsia" w:ascii="HG丸ｺﾞｼｯｸM-PRO" w:hAnsi="HG丸ｺﾞｼｯｸM-PRO" w:eastAsia="HG丸ｺﾞｼｯｸM-PRO"/>
              </w:rPr>
              <w:t>時点）</w:t>
            </w:r>
          </w:p>
        </w:tc>
      </w:tr>
    </w:tbl>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単位：台</w:t>
      </w:r>
    </w:p>
    <w:tbl>
      <w:tblPr>
        <w:tblStyle w:val="11"/>
        <w:tblW w:w="9570" w:type="dxa"/>
        <w:jc w:val="center"/>
        <w:tblInd w:w="0" w:type="dxa"/>
        <w:tblLayout w:type="fixed"/>
        <w:tblCellMar>
          <w:left w:w="0" w:type="dxa"/>
          <w:right w:w="0" w:type="dxa"/>
        </w:tblCellMar>
        <w:tblLook w:firstRow="1" w:lastRow="0" w:firstColumn="1" w:lastColumn="0" w:noHBand="0" w:noVBand="1" w:val="04A0"/>
      </w:tblPr>
      <w:tblGrid>
        <w:gridCol w:w="2400"/>
        <w:gridCol w:w="2383"/>
        <w:gridCol w:w="1596"/>
        <w:gridCol w:w="1596"/>
        <w:gridCol w:w="1595"/>
      </w:tblGrid>
      <w:tr>
        <w:trPr>
          <w:trHeight w:val="450" w:hRule="atLeast"/>
        </w:trPr>
        <w:tc>
          <w:tcPr>
            <w:tcW w:w="5220" w:type="dxa"/>
            <w:gridSpan w:val="2"/>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C0C0C0"/>
            <w:tcMar>
              <w:top w:w="0" w:type="dxa"/>
              <w:left w:w="0"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color w:val="000000"/>
              </w:rPr>
            </w:pPr>
            <w:r>
              <w:rPr>
                <w:rFonts w:hint="default" w:ascii="HG丸ｺﾞｼｯｸM-PRO" w:hAnsi="HG丸ｺﾞｼｯｸM-PRO" w:eastAsia="HG丸ｺﾞｼｯｸM-PRO"/>
                <w:color w:val="000000"/>
              </w:rPr>
              <w:t>車両</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0C0C0"/>
            <w:tcMar>
              <w:top w:w="0" w:type="dxa"/>
              <w:left w:w="5"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color w:val="000000"/>
              </w:rPr>
            </w:pPr>
            <w:r>
              <w:rPr>
                <w:rFonts w:hint="default" w:ascii="HG丸ｺﾞｼｯｸM-PRO" w:hAnsi="HG丸ｺﾞｼｯｸM-PRO" w:eastAsia="HG丸ｺﾞｼｯｸM-PRO"/>
                <w:color w:val="000000"/>
              </w:rPr>
              <w:t>使用燃料</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0C0C0"/>
            <w:tcMar>
              <w:top w:w="0" w:type="dxa"/>
              <w:left w:w="5"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color w:val="000000"/>
              </w:rPr>
            </w:pPr>
            <w:r>
              <w:rPr>
                <w:rFonts w:hint="default" w:ascii="HG丸ｺﾞｼｯｸM-PRO" w:hAnsi="HG丸ｺﾞｼｯｸM-PRO" w:eastAsia="HG丸ｺﾞｼｯｸM-PRO"/>
                <w:color w:val="000000"/>
              </w:rPr>
              <w:t>市直営</w:t>
            </w:r>
          </w:p>
        </w:tc>
        <w:tc>
          <w:tcPr>
            <w:tcW w:w="1740"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C0C0C0"/>
            <w:tcMar>
              <w:top w:w="0" w:type="dxa"/>
              <w:left w:w="5" w:type="dxa"/>
              <w:bottom w:w="0" w:type="dxa"/>
              <w:right w:w="0" w:type="dxa"/>
            </w:tcMar>
            <w:vAlign w:val="center"/>
          </w:tcPr>
          <w:p>
            <w:pPr>
              <w:pStyle w:val="0"/>
              <w:shd w:val="clear" w:color="auto" w:fill="C0C0C0"/>
              <w:jc w:val="center"/>
              <w:rPr>
                <w:rFonts w:hint="default" w:ascii="HG丸ｺﾞｼｯｸM-PRO" w:hAnsi="HG丸ｺﾞｼｯｸM-PRO" w:eastAsia="HG丸ｺﾞｼｯｸM-PRO"/>
                <w:color w:val="000000"/>
              </w:rPr>
            </w:pPr>
            <w:r>
              <w:rPr>
                <w:rFonts w:hint="default" w:ascii="HG丸ｺﾞｼｯｸM-PRO" w:hAnsi="HG丸ｺﾞｼｯｸM-PRO" w:eastAsia="HG丸ｺﾞｼｯｸM-PRO"/>
                <w:color w:val="000000"/>
              </w:rPr>
              <w:t>委託</w:t>
            </w:r>
          </w:p>
        </w:tc>
      </w:tr>
      <w:tr>
        <w:trPr>
          <w:trHeight w:val="450" w:hRule="atLeast"/>
        </w:trPr>
        <w:tc>
          <w:tcPr>
            <w:tcW w:w="2620" w:type="dxa"/>
            <w:vMerge w:val="restart"/>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パッカー車</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（回転式）</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auto"/>
              </w:rPr>
              <w:t>1</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５</w:t>
            </w:r>
          </w:p>
        </w:tc>
      </w:tr>
      <w:tr>
        <w:trPr>
          <w:trHeight w:val="450" w:hRule="atLeast"/>
        </w:trPr>
        <w:tc>
          <w:tcPr>
            <w:tcW w:w="26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３トン車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FF0000"/>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５</w:t>
            </w:r>
          </w:p>
        </w:tc>
      </w:tr>
      <w:tr>
        <w:trPr>
          <w:trHeight w:val="450" w:hRule="atLeast"/>
        </w:trPr>
        <w:tc>
          <w:tcPr>
            <w:tcW w:w="2620" w:type="dxa"/>
            <w:vMerge w:val="restart"/>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パッカー車</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（プレス式）</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FF0000"/>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１</w:t>
            </w:r>
          </w:p>
        </w:tc>
      </w:tr>
      <w:tr>
        <w:trPr>
          <w:trHeight w:val="450" w:hRule="atLeast"/>
        </w:trPr>
        <w:tc>
          <w:tcPr>
            <w:tcW w:w="26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３トン車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FF0000"/>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０</w:t>
            </w:r>
          </w:p>
        </w:tc>
      </w:tr>
      <w:tr>
        <w:trPr>
          <w:trHeight w:val="450" w:hRule="atLeast"/>
        </w:trPr>
        <w:tc>
          <w:tcPr>
            <w:tcW w:w="2620" w:type="dxa"/>
            <w:vMerge w:val="restart"/>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平ボディ車</w:t>
            </w:r>
            <w:r>
              <w:rPr>
                <w:rFonts w:hint="default" w:ascii="HG丸ｺﾞｼｯｸM-PRO" w:hAnsi="HG丸ｺﾞｼｯｸM-PRO" w:eastAsia="HG丸ｺﾞｼｯｸM-PRO"/>
                <w:sz w:val="22"/>
              </w:rPr>
              <w:br w:type="textWrapping" w:clear="none"/>
            </w:r>
            <w:r>
              <w:rPr>
                <w:rFonts w:hint="default" w:ascii="HG丸ｺﾞｼｯｸM-PRO" w:hAnsi="HG丸ｺﾞｼｯｸM-PRO" w:eastAsia="HG丸ｺﾞｼｯｸM-PRO"/>
                <w:sz w:val="22"/>
              </w:rPr>
              <w:t>（ダンプ）</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FF0000"/>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３</w:t>
            </w:r>
          </w:p>
        </w:tc>
      </w:tr>
      <w:tr>
        <w:trPr>
          <w:trHeight w:val="450" w:hRule="atLeast"/>
        </w:trPr>
        <w:tc>
          <w:tcPr>
            <w:tcW w:w="26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３トン車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FF0000"/>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０</w:t>
            </w:r>
          </w:p>
        </w:tc>
      </w:tr>
      <w:tr>
        <w:trPr>
          <w:trHeight w:val="675" w:hRule="atLeast"/>
        </w:trPr>
        <w:tc>
          <w:tcPr>
            <w:tcW w:w="2620"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平ボディ車</w:t>
            </w:r>
            <w:r>
              <w:rPr>
                <w:rFonts w:hint="default" w:ascii="HG丸ｺﾞｼｯｸM-PRO" w:hAnsi="HG丸ｺﾞｼｯｸM-PRO" w:eastAsia="HG丸ｺﾞｼｯｸM-PRO"/>
                <w:sz w:val="22"/>
              </w:rPr>
              <w:br w:type="textWrapping" w:clear="none"/>
            </w:r>
            <w:r>
              <w:rPr>
                <w:rFonts w:hint="default" w:ascii="HG丸ｺﾞｼｯｸM-PRO" w:hAnsi="HG丸ｺﾞｼｯｸM-PRO" w:eastAsia="HG丸ｺﾞｼｯｸM-PRO"/>
                <w:sz w:val="22"/>
              </w:rPr>
              <w:t>（ダンプ、昇降装置付）</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auto"/>
              </w:rPr>
              <w:t>1</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０</w:t>
            </w:r>
          </w:p>
        </w:tc>
      </w:tr>
      <w:tr>
        <w:trPr>
          <w:trHeight w:val="675" w:hRule="atLeast"/>
        </w:trPr>
        <w:tc>
          <w:tcPr>
            <w:tcW w:w="2620"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アームロール車</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FF0000"/>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１</w:t>
            </w:r>
          </w:p>
        </w:tc>
      </w:tr>
    </w:tbl>
    <w:p>
      <w:pPr>
        <w:pStyle w:val="0"/>
        <w:widowControl w:val="1"/>
        <w:jc w:val="left"/>
        <w:rPr>
          <w:rFonts w:hint="default" w:ascii="HG丸ｺﾞｼｯｸM-PRO" w:hAnsi="HG丸ｺﾞｼｯｸM-PRO" w:eastAsia="HG丸ｺﾞｼｯｸM-PRO"/>
          <w:color w:val="000000"/>
          <w:kern w:val="0"/>
        </w:rPr>
      </w:pPr>
      <w:r>
        <w:rPr>
          <w:rFonts w:hint="eastAsia"/>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図表６－４　片付けごみの収集運搬・処理、仮置場の設置・管理・運営に係る関係者の連絡先</w:t>
            </w:r>
          </w:p>
        </w:tc>
      </w:tr>
    </w:tbl>
    <w:p>
      <w:pPr>
        <w:pStyle w:val="0"/>
        <w:rPr>
          <w:rFonts w:hint="default" w:ascii="HG丸ｺﾞｼｯｸM-PRO" w:hAnsi="HG丸ｺﾞｼｯｸM-PRO" w:eastAsia="HG丸ｺﾞｼｯｸM-PRO"/>
        </w:rPr>
      </w:pPr>
    </w:p>
    <w:tbl>
      <w:tblPr>
        <w:tblStyle w:val="45"/>
        <w:tblW w:w="9503"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139"/>
        <w:gridCol w:w="2660"/>
        <w:gridCol w:w="2410"/>
        <w:gridCol w:w="3294"/>
      </w:tblGrid>
      <w:tr>
        <w:trPr/>
        <w:tc>
          <w:tcPr>
            <w:tcW w:w="1139"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2660"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名称</w:t>
            </w:r>
          </w:p>
        </w:tc>
        <w:tc>
          <w:tcPr>
            <w:tcW w:w="2410"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部署名</w:t>
            </w:r>
          </w:p>
        </w:tc>
        <w:tc>
          <w:tcPr>
            <w:tcW w:w="3294"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連絡先</w:t>
            </w:r>
          </w:p>
        </w:tc>
      </w:tr>
      <w:tr>
        <w:trPr>
          <w:trHeight w:val="600" w:hRule="atLeast"/>
        </w:trPr>
        <w:tc>
          <w:tcPr>
            <w:tcW w:w="1139"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県内連携</w:t>
            </w:r>
          </w:p>
        </w:tc>
        <w:tc>
          <w:tcPr>
            <w:tcW w:w="26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（協定に基づく県内全市町村及び</w:t>
            </w:r>
            <w:r>
              <w:rPr>
                <w:rFonts w:hint="eastAsia" w:ascii="HG丸ｺﾞｼｯｸM-PRO" w:hAnsi="HG丸ｺﾞｼｯｸM-PRO" w:eastAsia="HG丸ｺﾞｼｯｸM-PRO"/>
              </w:rPr>
              <w:t>18</w:t>
            </w:r>
            <w:r>
              <w:rPr>
                <w:rFonts w:hint="eastAsia" w:ascii="HG丸ｺﾞｼｯｸM-PRO" w:hAnsi="HG丸ｺﾞｼｯｸM-PRO" w:eastAsia="HG丸ｺﾞｼｯｸM-PRO"/>
              </w:rPr>
              <w:t>一部事務組合への支援要請）</w:t>
            </w:r>
          </w:p>
        </w:tc>
        <w:tc>
          <w:tcPr>
            <w:tcW w:w="241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環境生活部</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循環型社会推進課</w:t>
            </w:r>
          </w:p>
        </w:tc>
        <w:tc>
          <w:tcPr>
            <w:tcW w:w="3294"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tc>
      </w:tr>
      <w:tr>
        <w:trPr>
          <w:trHeight w:val="900" w:hRule="atLeast"/>
        </w:trPr>
        <w:tc>
          <w:tcPr>
            <w:tcW w:w="1139"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収集運搬</w:t>
            </w:r>
          </w:p>
        </w:tc>
        <w:tc>
          <w:tcPr>
            <w:tcW w:w="26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一般社団法人</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千葉県産業資源循環協会</w:t>
            </w:r>
          </w:p>
        </w:tc>
        <w:tc>
          <w:tcPr>
            <w:tcW w:w="241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294"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c>
          <w:tcPr>
            <w:tcW w:w="1139" w:type="dxa"/>
            <w:vMerge w:val="continue"/>
            <w:vAlign w:val="top"/>
          </w:tcPr>
          <w:p>
            <w:pPr>
              <w:pStyle w:val="0"/>
              <w:rPr>
                <w:rFonts w:hint="default"/>
              </w:rPr>
            </w:pPr>
          </w:p>
        </w:tc>
        <w:tc>
          <w:tcPr>
            <w:tcW w:w="26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w:t>
            </w:r>
          </w:p>
          <w:p>
            <w:pPr>
              <w:pStyle w:val="0"/>
              <w:rPr>
                <w:rFonts w:hint="default"/>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D.Waste-Net</w:t>
            </w:r>
            <w:r>
              <w:rPr>
                <w:rFonts w:hint="eastAsia" w:ascii="HG丸ｺﾞｼｯｸM-PRO" w:hAnsi="HG丸ｺﾞｼｯｸM-PRO" w:eastAsia="HG丸ｺﾞｼｯｸM-PRO"/>
              </w:rPr>
              <w:t>への支援要請）</w:t>
            </w:r>
          </w:p>
        </w:tc>
        <w:tc>
          <w:tcPr>
            <w:tcW w:w="241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環境生活部</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循環型社会推進課</w:t>
            </w:r>
          </w:p>
        </w:tc>
        <w:tc>
          <w:tcPr>
            <w:tcW w:w="3294"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tc>
      </w:tr>
      <w:tr>
        <w:trPr>
          <w:trHeight w:val="600" w:hRule="atLeast"/>
        </w:trPr>
        <w:tc>
          <w:tcPr>
            <w:tcW w:w="1139"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処理</w:t>
            </w:r>
          </w:p>
        </w:tc>
        <w:tc>
          <w:tcPr>
            <w:tcW w:w="26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東金市外三市町</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清掃組合</w:t>
            </w:r>
          </w:p>
        </w:tc>
        <w:tc>
          <w:tcPr>
            <w:tcW w:w="241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業務課</w:t>
            </w:r>
          </w:p>
        </w:tc>
        <w:tc>
          <w:tcPr>
            <w:tcW w:w="3294"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0475-55-9132</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0475-55-9575</w:t>
            </w:r>
          </w:p>
        </w:tc>
      </w:tr>
      <w:tr>
        <w:trPr/>
        <w:tc>
          <w:tcPr>
            <w:tcW w:w="1139" w:type="dxa"/>
            <w:vMerge w:val="continue"/>
            <w:vAlign w:val="top"/>
          </w:tcPr>
          <w:p>
            <w:pPr>
              <w:pStyle w:val="0"/>
              <w:rPr>
                <w:rFonts w:hint="default" w:ascii="HG丸ｺﾞｼｯｸM-PRO" w:hAnsi="HG丸ｺﾞｼｯｸM-PRO" w:eastAsia="HG丸ｺﾞｼｯｸM-PRO"/>
              </w:rPr>
            </w:pPr>
          </w:p>
        </w:tc>
        <w:tc>
          <w:tcPr>
            <w:tcW w:w="26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一般社団法人</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千葉県産業資源循環協会</w:t>
            </w:r>
          </w:p>
        </w:tc>
        <w:tc>
          <w:tcPr>
            <w:tcW w:w="241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294"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c>
          <w:tcPr>
            <w:tcW w:w="1139" w:type="dxa"/>
            <w:vMerge w:val="continue"/>
            <w:vAlign w:val="top"/>
          </w:tcPr>
          <w:p>
            <w:pPr>
              <w:pStyle w:val="0"/>
              <w:rPr>
                <w:rFonts w:hint="default"/>
              </w:rPr>
            </w:pPr>
          </w:p>
        </w:tc>
        <w:tc>
          <w:tcPr>
            <w:tcW w:w="26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w:t>
            </w:r>
          </w:p>
          <w:p>
            <w:pPr>
              <w:pStyle w:val="0"/>
              <w:rPr>
                <w:rFonts w:hint="default"/>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D.Waste-Net</w:t>
            </w:r>
            <w:r>
              <w:rPr>
                <w:rFonts w:hint="eastAsia" w:ascii="HG丸ｺﾞｼｯｸM-PRO" w:hAnsi="HG丸ｺﾞｼｯｸM-PRO" w:eastAsia="HG丸ｺﾞｼｯｸM-PRO"/>
              </w:rPr>
              <w:t>への支援要請）</w:t>
            </w:r>
          </w:p>
        </w:tc>
        <w:tc>
          <w:tcPr>
            <w:tcW w:w="241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環境生活部</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循環型社会推進課</w:t>
            </w:r>
          </w:p>
        </w:tc>
        <w:tc>
          <w:tcPr>
            <w:tcW w:w="3294"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tc>
      </w:tr>
      <w:tr>
        <w:trPr>
          <w:trHeight w:val="900" w:hRule="atLeast"/>
        </w:trPr>
        <w:tc>
          <w:tcPr>
            <w:tcW w:w="1139"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仮置場の設置・管理・運営</w:t>
            </w:r>
          </w:p>
        </w:tc>
        <w:tc>
          <w:tcPr>
            <w:tcW w:w="26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一般社団法人</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千葉県産業資源循環協会</w:t>
            </w:r>
          </w:p>
        </w:tc>
        <w:tc>
          <w:tcPr>
            <w:tcW w:w="241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294"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rHeight w:val="600" w:hRule="atLeast"/>
        </w:trPr>
        <w:tc>
          <w:tcPr>
            <w:tcW w:w="1139" w:type="dxa"/>
            <w:vMerge w:val="continue"/>
            <w:vAlign w:val="top"/>
          </w:tcPr>
          <w:p>
            <w:pPr>
              <w:pStyle w:val="0"/>
              <w:rPr>
                <w:rFonts w:hint="default"/>
              </w:rPr>
            </w:pPr>
          </w:p>
        </w:tc>
        <w:tc>
          <w:tcPr>
            <w:tcW w:w="2660" w:type="dxa"/>
            <w:vAlign w:val="top"/>
          </w:tcPr>
          <w:p>
            <w:pPr>
              <w:pStyle w:val="0"/>
              <w:spacing w:line="300" w:lineRule="exact"/>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rPr>
              <w:t>大網白里市災害対策協会</w:t>
            </w:r>
          </w:p>
        </w:tc>
        <w:tc>
          <w:tcPr>
            <w:tcW w:w="241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294"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第４節　仮置場</w:t>
            </w: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災害廃棄物の処理の準備が整うまでの間、仮置場で適正に廃棄物を保管する。仮置場での廃棄物の保管に当たっては、その後の処理に影響を来たさないよう、廃棄物の種類毎に分別仮置き・保管する。</w:t>
      </w:r>
    </w:p>
    <w:p>
      <w:pPr>
        <w:pStyle w:val="0"/>
        <w:rPr>
          <w:rFonts w:hint="default" w:ascii="HG丸ｺﾞｼｯｸM-PRO" w:hAnsi="HG丸ｺﾞｼｯｸM-PRO" w:eastAsia="HG丸ｺﾞｼｯｸM-PRO"/>
        </w:rPr>
      </w:pPr>
    </w:p>
    <w:p>
      <w:pPr>
        <w:pStyle w:val="3"/>
        <w:numPr>
          <w:ilvl w:val="2"/>
          <w:numId w:val="10"/>
        </w:numPr>
        <w:rPr>
          <w:rFonts w:hint="default"/>
        </w:rPr>
      </w:pPr>
      <w:r>
        <w:rPr>
          <w:rFonts w:hint="eastAsia"/>
        </w:rPr>
        <w:t>災害時</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【一次仮置場の選定】</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平時に選定した仮置場の候補地の中から被害状況を踏まえて一次仮置場を選定する。選定に当たっては実際に使用できるか、現地確認を行う。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候補地は、緊急のヘリポートや応急仮設住宅等の候補地となっている可能性があるため、関係他課に使用状況を確認し、必要に応じて調整・協議して確保する。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仮置場の近隣住民に対して、仮置場の必要性を説明して設置する。一次仮置場は、一定の期間（少なくとも数ヶ月間）設置されることも合わせて説明し、理解を得た上で設置する。</w:t>
      </w:r>
    </w:p>
    <w:p>
      <w:pPr>
        <w:pStyle w:val="0"/>
        <w:ind w:firstLine="210" w:firstLineChars="10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【一次仮置場の設置】</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図表６－５に示す配置計画を検討する際のポイントに留意して一次仮置場を設置する。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一次仮置</w:t>
      </w:r>
      <w:r>
        <w:rPr>
          <w:rFonts w:hint="eastAsia" w:ascii="HG丸ｺﾞｼｯｸM-PRO" w:hAnsi="HG丸ｺﾞｼｯｸM-PRO" w:eastAsia="HG丸ｺﾞｼｯｸM-PRO"/>
          <w:color w:val="auto"/>
        </w:rPr>
        <w:t>場の候補地及び必要</w:t>
      </w:r>
      <w:r>
        <w:rPr>
          <w:rFonts w:hint="eastAsia" w:ascii="HG丸ｺﾞｼｯｸM-PRO" w:hAnsi="HG丸ｺﾞｼｯｸM-PRO" w:eastAsia="HG丸ｺﾞｼｯｸM-PRO"/>
        </w:rPr>
        <w:t>な資機材を巻末資料に示す。</w:t>
      </w:r>
    </w:p>
    <w:p>
      <w:pPr>
        <w:pStyle w:val="15"/>
        <w:ind w:left="780" w:leftChars="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図表６－５　一次仮置場の配置計画（レイアウト）を検討する際のポイント</w:t>
            </w:r>
          </w:p>
        </w:tc>
      </w:tr>
    </w:tbl>
    <w:p>
      <w:pPr>
        <w:pStyle w:val="0"/>
        <w:rPr>
          <w:rFonts w:hint="default" w:ascii="HG丸ｺﾞｼｯｸM-PRO" w:hAnsi="HG丸ｺﾞｼｯｸM-PRO" w:eastAsia="HG丸ｺﾞｼｯｸM-PRO"/>
        </w:rPr>
      </w:pPr>
    </w:p>
    <w:tbl>
      <w:tblPr>
        <w:tblStyle w:val="45"/>
        <w:tblW w:w="9736" w:type="dxa"/>
        <w:tblInd w:w="0" w:type="dxa"/>
        <w:tblLayout w:type="fixed"/>
        <w:tblLook w:firstRow="1" w:lastRow="0" w:firstColumn="1" w:lastColumn="0" w:noHBand="0" w:noVBand="1" w:val="04A0"/>
      </w:tblPr>
      <w:tblGrid>
        <w:gridCol w:w="9736"/>
      </w:tblGrid>
      <w:tr>
        <w:trPr>
          <w:trHeight w:val="1975" w:hRule="atLeast"/>
        </w:trPr>
        <w:tc>
          <w:tcPr>
            <w:tcW w:w="9736" w:type="dxa"/>
            <w:vAlign w:val="top"/>
          </w:tcPr>
          <w:p>
            <w:pPr>
              <w:pStyle w:val="0"/>
              <w:ind w:left="-143" w:leftChars="-68"/>
              <w:rPr>
                <w:rFonts w:hint="default" w:ascii="HG丸ｺﾞｼｯｸM-PRO" w:hAnsi="HG丸ｺﾞｼｯｸM-PRO" w:eastAsia="HG丸ｺﾞｼｯｸM-PRO"/>
              </w:rPr>
            </w:pPr>
            <w:r>
              <w:rPr>
                <w:rFonts w:hint="eastAsia" w:ascii="HG丸ｺﾞｼｯｸM-PRO" w:hAnsi="HG丸ｺﾞｼｯｸM-PRO" w:eastAsia="HG丸ｺﾞｼｯｸM-PRO"/>
              </w:rPr>
              <w:t>【出入口】</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出入口には門扉等を設置する。門扉を設置できない時は、夜間に不法投棄されないよう、重機で出入口を塞いだり、警備員を配置する。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損壊家屋の撤去等に伴い発生した災害廃棄物を搬入する場合、その搬入量や搬出量を記録するため、出入口に計量器（簡易なものでよい）を設置する。なお、簡易計量器は片付けごみの搬入量・搬出量の管理にも活用可能であるが、住民による搬入時には渋滞等の発生の原因になることから、計量は必須ではない（省略できる）。仮置場の状況や周辺の道路環境を踏まえ判断する必要がある。</w:t>
            </w:r>
          </w:p>
          <w:p>
            <w:pPr>
              <w:pStyle w:val="0"/>
              <w:ind w:left="-143" w:leftChars="-68"/>
              <w:rPr>
                <w:rFonts w:hint="default" w:ascii="HG丸ｺﾞｼｯｸM-PRO" w:hAnsi="HG丸ｺﾞｼｯｸM-PRO" w:eastAsia="HG丸ｺﾞｼｯｸM-PRO"/>
              </w:rPr>
            </w:pPr>
          </w:p>
          <w:p>
            <w:pPr>
              <w:pStyle w:val="0"/>
              <w:ind w:left="-143" w:leftChars="-68"/>
              <w:rPr>
                <w:rFonts w:hint="default" w:ascii="HG丸ｺﾞｼｯｸM-PRO" w:hAnsi="HG丸ｺﾞｼｯｸM-PRO" w:eastAsia="HG丸ｺﾞｼｯｸM-PRO"/>
              </w:rPr>
            </w:pPr>
            <w:r>
              <w:rPr>
                <w:rFonts w:hint="eastAsia" w:ascii="HG丸ｺﾞｼｯｸM-PRO" w:hAnsi="HG丸ｺﾞｼｯｸM-PRO" w:eastAsia="HG丸ｺﾞｼｯｸM-PRO"/>
              </w:rPr>
              <w:t>【動線】</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搬入・搬出する運搬車両の動線を考慮する。左折での出入りとし、場内は一方通行とする。そのため、動線は右回り（時計回り）とするのがよい。場内道路幅は、搬入車両と搬出用の大型車両の通行が円滑にできるよう配慮する。</w:t>
            </w:r>
          </w:p>
          <w:p>
            <w:pPr>
              <w:pStyle w:val="0"/>
              <w:ind w:left="-143" w:leftChars="-68"/>
              <w:rPr>
                <w:rFonts w:hint="default" w:ascii="HG丸ｺﾞｼｯｸM-PRO" w:hAnsi="HG丸ｺﾞｼｯｸM-PRO" w:eastAsia="HG丸ｺﾞｼｯｸM-PRO"/>
              </w:rPr>
            </w:pPr>
          </w:p>
          <w:p>
            <w:pPr>
              <w:pStyle w:val="0"/>
              <w:ind w:left="-143" w:leftChars="-68"/>
              <w:rPr>
                <w:rFonts w:hint="default" w:ascii="HG丸ｺﾞｼｯｸM-PRO" w:hAnsi="HG丸ｺﾞｼｯｸM-PRO" w:eastAsia="HG丸ｺﾞｼｯｸM-PRO"/>
              </w:rPr>
            </w:pPr>
            <w:r>
              <w:rPr>
                <w:rFonts w:hint="eastAsia" w:ascii="HG丸ｺﾞｼｯｸM-PRO" w:hAnsi="HG丸ｺﾞｼｯｸM-PRO" w:eastAsia="HG丸ｺﾞｼｯｸM-PRO"/>
              </w:rPr>
              <w:t>【地盤対策】</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仮置場の地面について、特に土（農地を含む）の上に仮置きする場合、建設機械の移動や作業が行いやすいよう必要最低限の鉄板を手当する。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津波の被災地においては、降雨時等に災害廃棄物からの塩類の溶出が想定されることから、遮水シート敷設等による漏出対策について必要に応じて検討する必要がある。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仮置き前に土壌の採取を行い、必要に応じて分析できるようにしておく。</w:t>
            </w:r>
          </w:p>
          <w:p>
            <w:pPr>
              <w:pStyle w:val="0"/>
              <w:ind w:left="-143" w:leftChars="-68"/>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【災害廃棄物の配置】</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災害廃棄物は分別して保管する。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発生量や比重を考慮し、木材等の体積が大きいもの、発生量が多いものはあらかじめ広めの面積を確保しておく。地震と水害では、発生量が多くなる災害廃棄物の種類は異なることから、災害の種類に応じて廃棄物毎の面積を設定す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災害廃棄物の搬入・搬出車両の通行を妨害しないよう、搬入量が多くなる災害廃棄物（例：可燃物</w:t>
            </w:r>
            <w:r>
              <w:rPr>
                <w:rFonts w:hint="eastAsia" w:ascii="HG丸ｺﾞｼｯｸM-PRO" w:hAnsi="HG丸ｺﾞｼｯｸM-PRO" w:eastAsia="HG丸ｺﾞｼｯｸM-PRO"/>
              </w:rPr>
              <w:t>/</w:t>
            </w:r>
            <w:r>
              <w:rPr>
                <w:rFonts w:hint="eastAsia" w:ascii="HG丸ｺﾞｼｯｸM-PRO" w:hAnsi="HG丸ｺﾞｼｯｸM-PRO" w:eastAsia="HG丸ｺﾞｼｯｸM-PRO"/>
              </w:rPr>
              <w:t>可燃系混合物等）は出入口近傍に配置するのではなく、仮置場の出入口から離れた場所へ配置する。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搬入量が多く、大型車両での搬出を頻繁に行う必要がある品目については、大型車両への積み込みスペースを確保する。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スレート板や石膏ボードにはアスベストが含まれる場合もあるため、他の廃棄物と混合状態にならないよう離して仮置きする。また、スレート板と石膏ボードが混合状態にならないよう離して仮置きする。またシートで覆うなどの飛散防止策を講じる。</w:t>
            </w:r>
          </w:p>
          <w:p>
            <w:pPr>
              <w:pStyle w:val="15"/>
              <w:numPr>
                <w:ilvl w:val="0"/>
                <w:numId w:val="11"/>
              </w:numPr>
              <w:ind w:left="426" w:leftChars="0" w:hanging="284"/>
              <w:rPr>
                <w:rFonts w:hint="default" w:ascii="HG丸ｺﾞｼｯｸM-PRO" w:hAnsi="HG丸ｺﾞｼｯｸM-PRO" w:eastAsia="HG丸ｺﾞｼｯｸM-PRO"/>
              </w:rPr>
            </w:pPr>
            <w:r>
              <w:rPr>
                <w:rFonts w:hint="default" w:ascii="HG丸ｺﾞｼｯｸM-PRO" w:hAnsi="HG丸ｺﾞｼｯｸM-PRO" w:eastAsia="HG丸ｺﾞｼｯｸM-PRO"/>
              </w:rPr>
              <w:t>PCB</w:t>
            </w:r>
            <w:r>
              <w:rPr>
                <w:rFonts w:hint="eastAsia" w:ascii="HG丸ｺﾞｼｯｸM-PRO" w:hAnsi="HG丸ｺﾞｼｯｸM-PRO" w:eastAsia="HG丸ｺﾞｼｯｸM-PRO"/>
              </w:rPr>
              <w:t>及びアスベスト、その他の有害・危険物、その他適正処理が困難な廃棄物が搬入された場合には、他の災害廃棄物と混合しないよう、離して保管する。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万一、灯油等の可燃性の危険物が持ち込まれた場合には、燃えやすいものの近くには保管せず、管理がしやすい見えやすい場所に保管する。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時間の経過とともに、搬入量等の状況に応じて、仮置場のレイアウトを変更する。</w:t>
            </w:r>
          </w:p>
          <w:p>
            <w:pPr>
              <w:pStyle w:val="0"/>
              <w:ind w:left="-143" w:leftChars="-68"/>
              <w:rPr>
                <w:rFonts w:hint="default" w:ascii="HG丸ｺﾞｼｯｸM-PRO" w:hAnsi="HG丸ｺﾞｼｯｸM-PRO" w:eastAsia="HG丸ｺﾞｼｯｸM-PRO"/>
              </w:rPr>
            </w:pPr>
          </w:p>
          <w:p>
            <w:pPr>
              <w:pStyle w:val="0"/>
              <w:ind w:left="-143" w:leftChars="-68"/>
              <w:rPr>
                <w:rFonts w:hint="default" w:ascii="HG丸ｺﾞｼｯｸM-PRO" w:hAnsi="HG丸ｺﾞｼｯｸM-PRO" w:eastAsia="HG丸ｺﾞｼｯｸM-PRO"/>
              </w:rPr>
            </w:pPr>
            <w:r>
              <w:rPr>
                <w:rFonts w:hint="eastAsia" w:ascii="HG丸ｺﾞｼｯｸM-PRO" w:hAnsi="HG丸ｺﾞｼｯｸM-PRO" w:eastAsia="HG丸ｺﾞｼｯｸM-PRO"/>
              </w:rPr>
              <w:t>【その他】</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市街地の仮置場には、災害廃棄物処理事業の対象ではない「便乗ごみ」が排出されやすいため、受付時の被災者の確認、積荷チェック、周囲へのフェンスの設置、出入口への警備員の配置など防止策をとる。フェンスは出入口を限定する効果により不法投棄を防止することに加え、周辺への騒音・振動等の環境影響の防止や目隠しの効果が期待できるものもある。</w:t>
            </w:r>
          </w:p>
          <w:p>
            <w:pPr>
              <w:pStyle w:val="15"/>
              <w:numPr>
                <w:ilvl w:val="0"/>
                <w:numId w:val="11"/>
              </w:numPr>
              <w:ind w:left="426" w:leftChars="0" w:hanging="284"/>
              <w:rPr>
                <w:rFonts w:hint="default" w:ascii="HG丸ｺﾞｼｯｸM-PRO" w:hAnsi="HG丸ｺﾞｼｯｸM-PRO" w:eastAsia="HG丸ｺﾞｼｯｸM-PRO"/>
              </w:rPr>
            </w:pPr>
            <w:r>
              <w:rPr>
                <w:rFonts w:hint="eastAsia" w:ascii="HG丸ｺﾞｼｯｸM-PRO" w:hAnsi="HG丸ｺﾞｼｯｸM-PRO" w:eastAsia="HG丸ｺﾞｼｯｸM-PRO"/>
              </w:rPr>
              <w:t>木材、がれき類等が大量で、一次仮置場で破砕したほうが二次仮置場へ運搬して破砕するよりも効率的である場合には、一次仮置場に破砕機を設置することを検討する。</w:t>
            </w:r>
          </w:p>
        </w:tc>
      </w:tr>
    </w:tbl>
    <w:p>
      <w:pPr>
        <w:pStyle w:val="0"/>
        <w:ind w:left="540" w:right="-176" w:rightChars="-84"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出典：「仮置場の確保と配置計画に当たっての留意事項」（災害廃棄物対策指針</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技術資料</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技</w:t>
      </w:r>
      <w:r>
        <w:rPr>
          <w:rFonts w:hint="eastAsia" w:ascii="HG丸ｺﾞｼｯｸM-PRO" w:hAnsi="HG丸ｺﾞｼｯｸM-PRO" w:eastAsia="HG丸ｺﾞｼｯｸM-PRO"/>
          <w:sz w:val="18"/>
        </w:rPr>
        <w:t>18-3</w:t>
      </w:r>
      <w:r>
        <w:rPr>
          <w:rFonts w:hint="eastAsia" w:ascii="HG丸ｺﾞｼｯｸM-PRO" w:hAnsi="HG丸ｺﾞｼｯｸM-PRO" w:eastAsia="HG丸ｺﾞｼｯｸM-PRO"/>
          <w:sz w:val="18"/>
        </w:rPr>
        <w:t>）を元に一部加筆・修正</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図表６－６　一次仮置場の配置計画（レイアウト）例</w:t>
            </w:r>
          </w:p>
        </w:tc>
      </w:tr>
    </w:tbl>
    <w:p>
      <w:pPr>
        <w:pStyle w:val="0"/>
        <w:rPr>
          <w:rFonts w:hint="default" w:ascii="HG丸ｺﾞｼｯｸM-PRO" w:hAnsi="HG丸ｺﾞｼｯｸM-PRO" w:eastAsia="HG丸ｺﾞｼｯｸM-PRO"/>
        </w:rPr>
      </w:pPr>
    </w:p>
    <w:tbl>
      <w:tblPr>
        <w:tblStyle w:val="45"/>
        <w:tblW w:w="9736" w:type="dxa"/>
        <w:tblInd w:w="0" w:type="dxa"/>
        <w:tblLayout w:type="fixed"/>
        <w:tblLook w:firstRow="1" w:lastRow="0" w:firstColumn="1" w:lastColumn="0" w:noHBand="0" w:noVBand="1" w:val="04A0"/>
      </w:tblPr>
      <w:tblGrid>
        <w:gridCol w:w="9736"/>
      </w:tblGrid>
      <w:tr>
        <w:trPr>
          <w:trHeight w:val="8903" w:hRule="atLeast"/>
        </w:trPr>
        <w:tc>
          <w:tcPr>
            <w:tcW w:w="9736" w:type="dxa"/>
            <w:vAlign w:val="center"/>
          </w:tcPr>
          <w:p>
            <w:pPr>
              <w:pStyle w:val="0"/>
              <w:rPr>
                <w:rFonts w:hint="default" w:ascii="HG丸ｺﾞｼｯｸM-PRO" w:hAnsi="HG丸ｺﾞｼｯｸM-PRO" w:eastAsia="HG丸ｺﾞｼｯｸM-PRO"/>
              </w:rPr>
            </w:pPr>
            <w:r>
              <w:rPr>
                <w:rFonts w:hint="default"/>
              </w:rPr>
              <w:drawing>
                <wp:inline distT="0" distB="0" distL="0" distR="0">
                  <wp:extent cx="5974715" cy="4052570"/>
                  <wp:effectExtent l="0" t="0" r="0" b="0"/>
                  <wp:docPr id="1027" name="Picture 1"/>
                  <a:graphic xmlns:a="http://schemas.openxmlformats.org/drawingml/2006/main">
                    <a:graphicData uri="http://schemas.openxmlformats.org/drawingml/2006/picture">
                      <pic:pic xmlns:pic="http://schemas.openxmlformats.org/drawingml/2006/picture">
                        <pic:nvPicPr>
                          <pic:cNvPr id="1027" name="Picture 1"/>
                          <pic:cNvPicPr>
                            <a:picLocks noChangeAspect="1" noChangeArrowheads="1"/>
                          </pic:cNvPicPr>
                        </pic:nvPicPr>
                        <pic:blipFill>
                          <a:blip r:embed="rId11"/>
                          <a:stretch>
                            <a:fillRect/>
                          </a:stretch>
                        </pic:blipFill>
                        <pic:spPr>
                          <a:xfrm>
                            <a:off x="0" y="0"/>
                            <a:ext cx="5974715" cy="4052570"/>
                          </a:xfrm>
                          <a:prstGeom prst="rect">
                            <a:avLst/>
                          </a:prstGeom>
                          <a:noFill/>
                          <a:ln>
                            <a:noFill/>
                          </a:ln>
                        </pic:spPr>
                      </pic:pic>
                    </a:graphicData>
                  </a:graphic>
                </wp:inline>
              </w:drawing>
            </w:r>
          </w:p>
          <w:p>
            <w:pPr>
              <w:pStyle w:val="0"/>
              <w:spacing w:line="240" w:lineRule="exact"/>
              <w:ind w:left="21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※上図は、面積が１ヘクタール程度の一次仮置場を想定したものであり、水害の場合で発災から１～２ヶ月程度経過した時点を想定したものである。</w:t>
            </w:r>
          </w:p>
          <w:p>
            <w:pPr>
              <w:pStyle w:val="0"/>
              <w:spacing w:line="240" w:lineRule="exact"/>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場内道路の幅員は災害廃棄物の搬入車両と搬出用の大型車両の通行も考慮し設定する。</w:t>
            </w:r>
          </w:p>
          <w:p>
            <w:pPr>
              <w:pStyle w:val="0"/>
              <w:spacing w:line="240" w:lineRule="exact"/>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面積が狭い場合は、品目を限定して複数の仮置場を運用してもよい。</w:t>
            </w:r>
          </w:p>
          <w:p>
            <w:pPr>
              <w:pStyle w:val="0"/>
              <w:spacing w:line="240" w:lineRule="exact"/>
              <w:ind w:left="21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可能であれば品目毎に１名の分別指導員を配置するのが望ましいが、配置が困難な場合は複数の品目を兼務したり、分別指導と荷下ろし補助を兼務させる等の対応が必要である。</w:t>
            </w:r>
          </w:p>
          <w:p>
            <w:pPr>
              <w:pStyle w:val="0"/>
              <w:spacing w:line="240" w:lineRule="exact"/>
              <w:ind w:left="210" w:leftChars="100"/>
              <w:jc w:val="left"/>
              <w:rPr>
                <w:rFonts w:hint="default"/>
              </w:rPr>
            </w:pPr>
            <w:r>
              <w:rPr>
                <w:rFonts w:hint="eastAsia" w:ascii="HG丸ｺﾞｼｯｸM-PRO" w:hAnsi="HG丸ｺﾞｼｯｸM-PRO" w:eastAsia="HG丸ｺﾞｼｯｸM-PRO"/>
              </w:rPr>
              <w:t>地震災害の場合、上記に示した廃タイヤや布団、ソファー、畳等は便乗ごみとして排出される可能性があるため、配置計画に当たってはこれらを除外することを含めた検討が必要であり、それは災害毎に必要であることに留意する。</w:t>
            </w:r>
          </w:p>
        </w:tc>
      </w:tr>
    </w:tbl>
    <w:p>
      <w:pPr>
        <w:pStyle w:val="0"/>
        <w:ind w:left="540" w:right="-176" w:rightChars="-84"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出典：「仮置場の確保と配置計画に当たっての留意事項」（災害廃棄物対策指針</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技術資料</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技</w:t>
      </w:r>
      <w:r>
        <w:rPr>
          <w:rFonts w:hint="eastAsia" w:ascii="HG丸ｺﾞｼｯｸM-PRO" w:hAnsi="HG丸ｺﾞｼｯｸM-PRO" w:eastAsia="HG丸ｺﾞｼｯｸM-PRO"/>
          <w:sz w:val="18"/>
        </w:rPr>
        <w:t>18-3</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rPr>
        <w:br w:type="page"/>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【人員の確保】</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仮置場の管理・運営のため、受付、車両の誘導及び災害廃棄物の荷下し補助、分別指導等を行うための職員を配置する。災害廃棄物の搬入量が多い時期には、少なくとも１つの仮置場で</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名以上（交代要員を含む）の人数が必要となるため、庁内の人員だけで対応できない場合は、支援を要請して人員を確保する。支援が行われるまでは庁内の人員だけで仮置場の管理・運営を行う。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被災者の確認や搬入物が災害廃棄物であるかどうかの積荷チェック等、責任を伴う事項については本市の職員が対応に当たる。そのため少なくとも</w:t>
      </w:r>
      <w:r>
        <w:rPr>
          <w:rFonts w:hint="eastAsia" w:ascii="HG丸ｺﾞｼｯｸM-PRO" w:hAnsi="HG丸ｺﾞｼｯｸM-PRO" w:eastAsia="HG丸ｺﾞｼｯｸM-PRO"/>
        </w:rPr>
        <w:t>1</w:t>
      </w:r>
      <w:r>
        <w:rPr>
          <w:rFonts w:hint="eastAsia" w:ascii="HG丸ｺﾞｼｯｸM-PRO" w:hAnsi="HG丸ｺﾞｼｯｸM-PRO" w:eastAsia="HG丸ｺﾞｼｯｸM-PRO"/>
        </w:rPr>
        <w:t>名は本市の職員を配置する。</w:t>
      </w:r>
    </w:p>
    <w:p>
      <w:pPr>
        <w:pStyle w:val="0"/>
        <w:rPr>
          <w:rFonts w:hint="default" w:ascii="HG丸ｺﾞｼｯｸM-PRO" w:hAnsi="HG丸ｺﾞｼｯｸM-PRO" w:eastAsia="HG丸ｺﾞｼｯｸM-PRO"/>
        </w:rPr>
      </w:pPr>
    </w:p>
    <w:tbl>
      <w:tblPr>
        <w:tblStyle w:val="45"/>
        <w:tblW w:w="97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81"/>
      </w:tblGrid>
      <w:tr>
        <w:trPr/>
        <w:tc>
          <w:tcPr>
            <w:tcW w:w="978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図表６－７　仮置場の管理・運営に関する人員確保の方法</w:t>
            </w:r>
          </w:p>
        </w:tc>
      </w:tr>
    </w:tbl>
    <w:p>
      <w:pPr>
        <w:pStyle w:val="0"/>
        <w:rPr>
          <w:rFonts w:hint="default" w:ascii="HG丸ｺﾞｼｯｸM-PRO" w:hAnsi="HG丸ｺﾞｼｯｸM-PRO" w:eastAsia="HG丸ｺﾞｼｯｸM-PRO"/>
        </w:rPr>
      </w:pPr>
    </w:p>
    <w:tbl>
      <w:tblPr>
        <w:tblStyle w:val="45"/>
        <w:tblW w:w="9736"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2235"/>
        <w:gridCol w:w="1275"/>
        <w:gridCol w:w="2977"/>
        <w:gridCol w:w="3249"/>
      </w:tblGrid>
      <w:tr>
        <w:trPr/>
        <w:tc>
          <w:tcPr>
            <w:tcW w:w="2235"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支援要請先</w:t>
            </w:r>
          </w:p>
        </w:tc>
        <w:tc>
          <w:tcPr>
            <w:tcW w:w="1275"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部署名</w:t>
            </w:r>
          </w:p>
        </w:tc>
        <w:tc>
          <w:tcPr>
            <w:tcW w:w="2977"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連絡先</w:t>
            </w:r>
          </w:p>
        </w:tc>
        <w:tc>
          <w:tcPr>
            <w:tcW w:w="3249"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備考</w:t>
            </w:r>
          </w:p>
        </w:tc>
      </w:tr>
      <w:tr>
        <w:trPr/>
        <w:tc>
          <w:tcPr>
            <w:tcW w:w="223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本市災害対策本部</w:t>
            </w:r>
          </w:p>
        </w:tc>
        <w:tc>
          <w:tcPr>
            <w:tcW w:w="127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安全対策課</w:t>
            </w:r>
          </w:p>
        </w:tc>
        <w:tc>
          <w:tcPr>
            <w:tcW w:w="297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tc>
        <w:tc>
          <w:tcPr>
            <w:tcW w:w="324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庁内他部局からの支援</w:t>
            </w:r>
          </w:p>
        </w:tc>
      </w:tr>
      <w:tr>
        <w:trPr/>
        <w:tc>
          <w:tcPr>
            <w:tcW w:w="223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県内全市町村</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（県内</w:t>
            </w:r>
            <w:r>
              <w:rPr>
                <w:rFonts w:hint="eastAsia" w:ascii="HG丸ｺﾞｼｯｸM-PRO" w:hAnsi="HG丸ｺﾞｼｯｸM-PRO" w:eastAsia="HG丸ｺﾞｼｯｸM-PRO"/>
              </w:rPr>
              <w:t>54</w:t>
            </w:r>
            <w:r>
              <w:rPr>
                <w:rFonts w:hint="eastAsia" w:ascii="HG丸ｺﾞｼｯｸM-PRO" w:hAnsi="HG丸ｺﾞｼｯｸM-PRO" w:eastAsia="HG丸ｺﾞｼｯｸM-PRO"/>
              </w:rPr>
              <w:t>市町村）</w:t>
            </w:r>
          </w:p>
        </w:tc>
        <w:tc>
          <w:tcPr>
            <w:tcW w:w="127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事務局</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c>
          <w:tcPr>
            <w:tcW w:w="324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災害時における千葉県内市町村間の相互応援に関する基本協定に基づく支援要請</w:t>
            </w:r>
          </w:p>
        </w:tc>
      </w:tr>
      <w:tr>
        <w:trPr/>
        <w:tc>
          <w:tcPr>
            <w:tcW w:w="223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山武郡市内市町（東金市、山武市、九十九里町、芝山町、横芝光町）</w:t>
            </w:r>
          </w:p>
        </w:tc>
        <w:tc>
          <w:tcPr>
            <w:tcW w:w="127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事務局</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c>
          <w:tcPr>
            <w:tcW w:w="324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災害時における千葉県山武郡市の相互応援に関する協定に基づく支援要請</w:t>
            </w:r>
          </w:p>
        </w:tc>
      </w:tr>
      <w:tr>
        <w:trPr/>
        <w:tc>
          <w:tcPr>
            <w:tcW w:w="223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宮城県山元町</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群馬県中之条町</w:t>
            </w:r>
          </w:p>
        </w:tc>
        <w:tc>
          <w:tcPr>
            <w:tcW w:w="127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事務局</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c>
          <w:tcPr>
            <w:tcW w:w="324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大網白里市、山元町、中之条町との災害時における相互応援に関する協定に基づく支援要請</w:t>
            </w:r>
          </w:p>
        </w:tc>
      </w:tr>
      <w:tr>
        <w:trPr/>
        <w:tc>
          <w:tcPr>
            <w:tcW w:w="223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茨城県北茨城市、他</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全７３市町村</w:t>
            </w:r>
          </w:p>
        </w:tc>
        <w:tc>
          <w:tcPr>
            <w:tcW w:w="127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事務局</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c>
          <w:tcPr>
            <w:tcW w:w="324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廃棄物と環境を考える協議会加盟団体災害時相互応援協定に基づく支援要請</w:t>
            </w:r>
          </w:p>
        </w:tc>
      </w:tr>
      <w:tr>
        <w:trPr/>
        <w:tc>
          <w:tcPr>
            <w:tcW w:w="223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一般社団法人</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千葉県産業資源循環協会</w:t>
            </w:r>
          </w:p>
        </w:tc>
        <w:tc>
          <w:tcPr>
            <w:tcW w:w="12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c>
          <w:tcPr>
            <w:tcW w:w="324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地震等大規模災害時における災害廃棄物の処理等に関する協定に基づく支援要請</w:t>
            </w:r>
          </w:p>
        </w:tc>
      </w:tr>
      <w:tr>
        <w:trPr/>
        <w:tc>
          <w:tcPr>
            <w:tcW w:w="223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大網白里市災害対策協会</w:t>
            </w:r>
          </w:p>
        </w:tc>
        <w:tc>
          <w:tcPr>
            <w:tcW w:w="12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kern w:val="0"/>
              </w:rPr>
              <w:t>事務局</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c>
          <w:tcPr>
            <w:tcW w:w="324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災害時における応急対策業務に関する協定</w:t>
            </w:r>
            <w:r>
              <w:rPr>
                <w:rFonts w:hint="eastAsia" w:ascii="HG丸ｺﾞｼｯｸM-PRO" w:hAnsi="HG丸ｺﾞｼｯｸM-PRO" w:eastAsia="HG丸ｺﾞｼｯｸM-PRO"/>
              </w:rPr>
              <w:t>に基づく支援要請</w:t>
            </w:r>
          </w:p>
        </w:tc>
      </w:tr>
      <w:tr>
        <w:trPr/>
        <w:tc>
          <w:tcPr>
            <w:tcW w:w="2235"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環境省</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関東地方環境事務所</w:t>
            </w:r>
          </w:p>
        </w:tc>
        <w:tc>
          <w:tcPr>
            <w:tcW w:w="12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kern w:val="0"/>
              </w:rPr>
              <w:t>資源循環課</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048-600-0814</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048-600-0518</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（関東地方環境事務所資源循環課）</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c>
          <w:tcPr>
            <w:tcW w:w="324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kern w:val="0"/>
              </w:rPr>
              <w:t>大規模災害発生時における関東ブロック災害廃棄物対策行動計画</w:t>
            </w:r>
            <w:r>
              <w:rPr>
                <w:rFonts w:hint="eastAsia" w:ascii="HG丸ｺﾞｼｯｸM-PRO" w:hAnsi="HG丸ｺﾞｼｯｸM-PRO" w:eastAsia="HG丸ｺﾞｼｯｸM-PRO"/>
              </w:rPr>
              <w:t>に基づく支援要請</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【分別の徹底、一次仮置場の管理】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分別の徹底は極めて重要であることから、市民や災害ボランティアに対して分別の必要性と分別方法を初動時に周知・広報して協力を得る。ただし、仮置場の管理に災害ボランティアを活用することは避ける。</w:t>
      </w:r>
    </w:p>
    <w:p>
      <w:pPr>
        <w:pStyle w:val="15"/>
        <w:numPr>
          <w:ilvl w:val="0"/>
          <w:numId w:val="4"/>
        </w:numPr>
        <w:autoSpaceDE w:val="0"/>
        <w:autoSpaceDN w:val="0"/>
        <w:adjustRightInd w:val="0"/>
        <w:ind w:leftChars="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仮置場内の配置が分かりやすいよう、配置図をホームページ等で事前配布又は入口で配布する。</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仮置場内の分別品目毎の看板を作成し、設置する。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仮置場での受付時間は９～１７時（１２～１３時は昼休憩）までを基本とし、季節に応じて適切な時間を設定する。発災から２週間は休み（受入停止）を設定しないが、２週間後以降は、毎週水曜日は休みとして、仮置場の整理・整頓を行う。</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7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81"/>
      </w:tblGrid>
      <w:tr>
        <w:trPr/>
        <w:tc>
          <w:tcPr>
            <w:tcW w:w="978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図表６－８　仮置場の管理方法</w:t>
            </w:r>
          </w:p>
        </w:tc>
      </w:tr>
    </w:tbl>
    <w:p>
      <w:pPr>
        <w:pStyle w:val="0"/>
        <w:rPr>
          <w:rFonts w:hint="default" w:ascii="HG丸ｺﾞｼｯｸM-PRO" w:hAnsi="HG丸ｺﾞｼｯｸM-PRO" w:eastAsia="HG丸ｺﾞｼｯｸM-PRO"/>
        </w:rPr>
      </w:pPr>
    </w:p>
    <w:tbl>
      <w:tblPr>
        <w:tblStyle w:val="45"/>
        <w:tblW w:w="9736" w:type="dxa"/>
        <w:tblInd w:w="0" w:type="dxa"/>
        <w:tblBorders>
          <w:left w:val="none" w:color="auto" w:sz="0" w:space="0"/>
          <w:right w:val="none" w:color="auto" w:sz="0" w:space="0"/>
        </w:tblBorders>
        <w:tblLayout w:type="fixed"/>
        <w:tblLook w:firstRow="1" w:lastRow="0" w:firstColumn="1" w:lastColumn="0" w:noHBand="0" w:noVBand="1" w:val="04A0"/>
      </w:tblPr>
      <w:tblGrid>
        <w:gridCol w:w="1980"/>
        <w:gridCol w:w="7756"/>
      </w:tblGrid>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災害廃棄物の積み上げ・スペースの確保・整理整頓</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職員を配置して受付時の被災者の確認、積荷チェック、分別指導や荷下ろし補助、警備を行う。</w:t>
            </w:r>
          </w:p>
          <w:p>
            <w:pPr>
              <w:pStyle w:val="15"/>
              <w:numPr>
                <w:ilvl w:val="0"/>
                <w:numId w:val="4"/>
              </w:numPr>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廃棄物をショベルローダーやバックホウで</w:t>
            </w:r>
            <w:r>
              <w:rPr>
                <w:rFonts w:hint="eastAsia" w:ascii="HG丸ｺﾞｼｯｸM-PRO" w:hAnsi="HG丸ｺﾞｼｯｸM-PRO" w:eastAsia="HG丸ｺﾞｼｯｸM-PRO"/>
              </w:rPr>
              <w:t>5m</w:t>
            </w:r>
            <w:r>
              <w:rPr>
                <w:rFonts w:hint="eastAsia" w:ascii="HG丸ｺﾞｼｯｸM-PRO" w:hAnsi="HG丸ｺﾞｼｯｸM-PRO" w:eastAsia="HG丸ｺﾞｼｯｸM-PRO"/>
              </w:rPr>
              <w:t>程度まで積み上げる。</w:t>
            </w:r>
          </w:p>
          <w:p>
            <w:pPr>
              <w:pStyle w:val="15"/>
              <w:numPr>
                <w:ilvl w:val="0"/>
                <w:numId w:val="4"/>
              </w:numPr>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可燃系混合物は、必要に応じてバックホウのアタッチメント（アイアンクローなど）で粗破砕する。</w:t>
            </w:r>
          </w:p>
        </w:tc>
      </w:tr>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作業員の安全管理</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作業員は、防塵マスク、ヘルメット、安全靴、手袋、長袖を着用する。</w:t>
            </w:r>
            <w:r>
              <w:rPr>
                <w:rFonts w:hint="default" w:ascii="HG丸ｺﾞｼｯｸM-PRO" w:hAnsi="HG丸ｺﾞｼｯｸM-PRO" w:eastAsia="HG丸ｺﾞｼｯｸM-PRO"/>
                <w:sz w:val="20"/>
              </w:rPr>
              <w:t xml:space="preserve"> </w:t>
            </w:r>
          </w:p>
        </w:tc>
      </w:tr>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仮置場の監視</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被災者以外からの災害廃棄物の搬入を防止するため、被災者の身分証や搬入申請書等を確認して搬入を認める。</w:t>
            </w:r>
            <w:r>
              <w:rPr>
                <w:rFonts w:hint="default" w:ascii="HG丸ｺﾞｼｯｸM-PRO" w:hAnsi="HG丸ｺﾞｼｯｸM-PRO" w:eastAsia="HG丸ｺﾞｼｯｸM-PRO"/>
                <w:sz w:val="20"/>
              </w:rPr>
              <w:t xml:space="preserve"> </w:t>
            </w:r>
          </w:p>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生ごみや危険物等の不適切な廃棄物の搬入を防止するため、仮置場の入口に管理者を配置し、確認・説明を行う。</w:t>
            </w:r>
            <w:r>
              <w:rPr>
                <w:rFonts w:hint="default" w:ascii="HG丸ｺﾞｼｯｸM-PRO" w:hAnsi="HG丸ｺﾞｼｯｸM-PRO" w:eastAsia="HG丸ｺﾞｼｯｸM-PRO"/>
                <w:sz w:val="20"/>
              </w:rPr>
              <w:t xml:space="preserve"> </w:t>
            </w:r>
          </w:p>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仮置場の受入時間を設定し、時間外は仮置場の入口を閉鎖する。</w:t>
            </w:r>
            <w:r>
              <w:rPr>
                <w:rFonts w:hint="default" w:ascii="HG丸ｺﾞｼｯｸM-PRO" w:hAnsi="HG丸ｺﾞｼｯｸM-PRO" w:eastAsia="HG丸ｺﾞｼｯｸM-PRO"/>
                <w:sz w:val="20"/>
              </w:rPr>
              <w:t xml:space="preserve"> </w:t>
            </w:r>
          </w:p>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夜間の不適切な搬入や安全確認のため、パトロールを実施する。</w:t>
            </w:r>
            <w:r>
              <w:rPr>
                <w:rFonts w:hint="default" w:ascii="HG丸ｺﾞｼｯｸM-PRO" w:hAnsi="HG丸ｺﾞｼｯｸM-PRO" w:eastAsia="HG丸ｺﾞｼｯｸM-PRO"/>
                <w:sz w:val="20"/>
              </w:rPr>
              <w:t xml:space="preserve"> </w:t>
            </w:r>
          </w:p>
        </w:tc>
      </w:tr>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災害廃棄物の数量管理</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日々の搬入・搬出管理（計量と記録）を行う。停電や機器不足により台貫等による計量が困難な場合は、搬入・搬出台数や集積した災害廃棄物の面積・高さを把握することで、仮置場で管理している廃棄物量とその出入りを把握する。</w:t>
            </w:r>
            <w:r>
              <w:rPr>
                <w:rFonts w:hint="default" w:ascii="HG丸ｺﾞｼｯｸM-PRO" w:hAnsi="HG丸ｺﾞｼｯｸM-PRO" w:eastAsia="HG丸ｺﾞｼｯｸM-PRO"/>
                <w:sz w:val="20"/>
              </w:rPr>
              <w:t xml:space="preserve"> </w:t>
            </w:r>
          </w:p>
        </w:tc>
      </w:tr>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飛散防止策</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粉じんの飛散を防ぐため、散水を適宜実施する。</w:t>
            </w:r>
            <w:r>
              <w:rPr>
                <w:rFonts w:hint="default" w:ascii="HG丸ｺﾞｼｯｸM-PRO" w:hAnsi="HG丸ｺﾞｼｯｸM-PRO" w:eastAsia="HG丸ｺﾞｼｯｸM-PRO"/>
                <w:sz w:val="20"/>
              </w:rPr>
              <w:t xml:space="preserve"> </w:t>
            </w:r>
          </w:p>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ごみの飛散防止のため、覆い（ブルーシート等）をする。</w:t>
            </w:r>
            <w:r>
              <w:rPr>
                <w:rFonts w:hint="default" w:ascii="HG丸ｺﾞｼｯｸM-PRO" w:hAnsi="HG丸ｺﾞｼｯｸM-PRO" w:eastAsia="HG丸ｺﾞｼｯｸM-PRO"/>
                <w:sz w:val="20"/>
              </w:rPr>
              <w:t xml:space="preserve"> </w:t>
            </w:r>
          </w:p>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仮置場の周辺への飛散防止のため、ネット・フェンス等を設置する。</w:t>
            </w:r>
            <w:r>
              <w:rPr>
                <w:rFonts w:hint="default" w:ascii="HG丸ｺﾞｼｯｸM-PRO" w:hAnsi="HG丸ｺﾞｼｯｸM-PRO" w:eastAsia="HG丸ｺﾞｼｯｸM-PRO"/>
                <w:sz w:val="20"/>
              </w:rPr>
              <w:t xml:space="preserve"> </w:t>
            </w:r>
          </w:p>
        </w:tc>
      </w:tr>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漏水対策</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廃棄物からの漏水、凍結による漏水対策として、必要最低限の敷鉄板の敷設やブルーシート等で直接土壌に排出されないように考慮する。</w:t>
            </w:r>
          </w:p>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排水勾配を確保した仮置場のかさ上げや仮排水構造物等敷設で仮置場内の排水を行うことが望ましい。</w:t>
            </w:r>
          </w:p>
        </w:tc>
      </w:tr>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火災防止対策</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可燃物</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可燃系混合物は、積み上げは高さ</w:t>
            </w:r>
            <w:r>
              <w:rPr>
                <w:rFonts w:hint="default" w:ascii="HG丸ｺﾞｼｯｸM-PRO" w:hAnsi="HG丸ｺﾞｼｯｸM-PRO" w:eastAsia="HG丸ｺﾞｼｯｸM-PRO"/>
                <w:sz w:val="20"/>
              </w:rPr>
              <w:t>5m</w:t>
            </w:r>
            <w:r>
              <w:rPr>
                <w:rFonts w:hint="eastAsia" w:ascii="HG丸ｺﾞｼｯｸM-PRO" w:hAnsi="HG丸ｺﾞｼｯｸM-PRO" w:eastAsia="HG丸ｺﾞｼｯｸM-PRO"/>
                <w:sz w:val="20"/>
              </w:rPr>
              <w:t>以下、災害廃棄物の山の設置面積を</w:t>
            </w:r>
            <w:r>
              <w:rPr>
                <w:rFonts w:hint="default" w:ascii="HG丸ｺﾞｼｯｸM-PRO" w:hAnsi="HG丸ｺﾞｼｯｸM-PRO" w:eastAsia="HG丸ｺﾞｼｯｸM-PRO"/>
                <w:sz w:val="20"/>
              </w:rPr>
              <w:t>200</w:t>
            </w:r>
            <w:r>
              <w:rPr>
                <w:rFonts w:hint="eastAsia" w:ascii="HG丸ｺﾞｼｯｸM-PRO" w:hAnsi="HG丸ｺﾞｼｯｸM-PRO" w:eastAsia="HG丸ｺﾞｼｯｸM-PRO"/>
                <w:sz w:val="20"/>
              </w:rPr>
              <w:t>ｍ</w:t>
            </w:r>
            <w:r>
              <w:rPr>
                <w:rFonts w:hint="eastAsia" w:ascii="HG丸ｺﾞｼｯｸM-PRO" w:hAnsi="HG丸ｺﾞｼｯｸM-PRO" w:eastAsia="HG丸ｺﾞｼｯｸM-PRO"/>
                <w:sz w:val="20"/>
                <w:vertAlign w:val="superscript"/>
              </w:rPr>
              <w:t>２</w:t>
            </w:r>
            <w:r>
              <w:rPr>
                <w:rFonts w:hint="default" w:ascii="HG丸ｺﾞｼｯｸM-PRO" w:hAnsi="HG丸ｺﾞｼｯｸM-PRO" w:eastAsia="HG丸ｺﾞｼｯｸM-PRO"/>
                <w:sz w:val="13"/>
              </w:rPr>
              <w:t xml:space="preserve"> </w:t>
            </w:r>
            <w:r>
              <w:rPr>
                <w:rFonts w:hint="eastAsia" w:ascii="HG丸ｺﾞｼｯｸM-PRO" w:hAnsi="HG丸ｺﾞｼｯｸM-PRO" w:eastAsia="HG丸ｺﾞｼｯｸM-PRO"/>
                <w:sz w:val="20"/>
              </w:rPr>
              <w:t>以下、災害廃棄物の山と山との離間距離は</w:t>
            </w:r>
            <w:r>
              <w:rPr>
                <w:rFonts w:hint="default" w:ascii="HG丸ｺﾞｼｯｸM-PRO" w:hAnsi="HG丸ｺﾞｼｯｸM-PRO" w:eastAsia="HG丸ｺﾞｼｯｸM-PRO"/>
                <w:sz w:val="20"/>
              </w:rPr>
              <w:t>2m</w:t>
            </w:r>
            <w:r>
              <w:rPr>
                <w:rFonts w:hint="eastAsia" w:ascii="HG丸ｺﾞｼｯｸM-PRO" w:hAnsi="HG丸ｺﾞｼｯｸM-PRO" w:eastAsia="HG丸ｺﾞｼｯｸM-PRO"/>
                <w:sz w:val="20"/>
              </w:rPr>
              <w:t>以上とする。</w:t>
            </w:r>
          </w:p>
          <w:p>
            <w:pPr>
              <w:pStyle w:val="0"/>
              <w:ind w:left="34"/>
              <w:rPr>
                <w:rFonts w:hint="default" w:ascii="HG丸ｺﾞｼｯｸM-PRO" w:hAnsi="HG丸ｺﾞｼｯｸM-PRO" w:eastAsia="HG丸ｺﾞｼｯｸM-PRO"/>
                <w:sz w:val="20"/>
              </w:rPr>
            </w:pPr>
            <w:r>
              <w:rPr>
                <w:rFonts w:hint="default"/>
              </w:rPr>
              <w:drawing>
                <wp:inline distT="0" distB="0" distL="0" distR="0">
                  <wp:extent cx="4751705" cy="1085850"/>
                  <wp:effectExtent l="0" t="0" r="0" b="0"/>
                  <wp:docPr id="1028" name="Picture 3"/>
                  <a:graphic xmlns:a="http://schemas.openxmlformats.org/drawingml/2006/main">
                    <a:graphicData uri="http://schemas.openxmlformats.org/drawingml/2006/picture">
                      <pic:pic xmlns:pic="http://schemas.openxmlformats.org/drawingml/2006/picture">
                        <pic:nvPicPr>
                          <pic:cNvPr id="1028" name="Picture 3"/>
                          <pic:cNvPicPr>
                            <a:picLocks noChangeAspect="1" noChangeArrowheads="1"/>
                          </pic:cNvPicPr>
                        </pic:nvPicPr>
                        <pic:blipFill>
                          <a:blip r:embed="rId12"/>
                          <a:stretch>
                            <a:fillRect/>
                          </a:stretch>
                        </pic:blipFill>
                        <pic:spPr>
                          <a:xfrm>
                            <a:off x="0" y="0"/>
                            <a:ext cx="4751705" cy="1085850"/>
                          </a:xfrm>
                          <a:prstGeom prst="rect">
                            <a:avLst/>
                          </a:prstGeom>
                          <a:noFill/>
                          <a:ln>
                            <a:noFill/>
                          </a:ln>
                        </pic:spPr>
                      </pic:pic>
                    </a:graphicData>
                  </a:graphic>
                </wp:inline>
              </w:drawing>
            </w:r>
          </w:p>
          <w:p>
            <w:pPr>
              <w:pStyle w:val="0"/>
              <w:ind w:left="723" w:leftChars="87"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出典：「仮置場の可燃性廃棄物の火災予防（第二報）」（震災対応ネットワーク（廃棄物・し尿等分野）、国立環境研究所）</w:t>
            </w:r>
          </w:p>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災害廃棄物の堆積物の温度測定や切り替えしによる放熱を行う。</w:t>
            </w:r>
          </w:p>
        </w:tc>
      </w:tr>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臭気・衛生対策</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腐敗性廃棄物は長期保管を避け、優先的に焼却等の処理を行う。</w:t>
            </w:r>
            <w:r>
              <w:rPr>
                <w:rFonts w:hint="default" w:ascii="HG丸ｺﾞｼｯｸM-PRO" w:hAnsi="HG丸ｺﾞｼｯｸM-PRO" w:eastAsia="HG丸ｺﾞｼｯｸM-PRO"/>
                <w:sz w:val="20"/>
              </w:rPr>
              <w:t xml:space="preserve"> </w:t>
            </w:r>
          </w:p>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殺虫剤等薬剤の散布を行う。</w:t>
            </w:r>
            <w:r>
              <w:rPr>
                <w:rFonts w:hint="default" w:ascii="HG丸ｺﾞｼｯｸM-PRO" w:hAnsi="HG丸ｺﾞｼｯｸM-PRO" w:eastAsia="HG丸ｺﾞｼｯｸM-PRO"/>
                <w:sz w:val="20"/>
              </w:rPr>
              <w:t xml:space="preserve"> </w:t>
            </w:r>
          </w:p>
        </w:tc>
      </w:tr>
      <w:tr>
        <w:trPr/>
        <w:tc>
          <w:tcPr>
            <w:tcW w:w="198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環境モニタリング</w:t>
            </w:r>
          </w:p>
        </w:tc>
        <w:tc>
          <w:tcPr>
            <w:tcW w:w="7756" w:type="dxa"/>
            <w:vAlign w:val="top"/>
          </w:tcPr>
          <w:p>
            <w:pPr>
              <w:pStyle w:val="15"/>
              <w:numPr>
                <w:ilvl w:val="0"/>
                <w:numId w:val="4"/>
              </w:numPr>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必要に応じて仮置場周辺での大気、騒音・振動、悪臭、水質等の環境モニタリングを実施する。</w:t>
            </w: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【処理先への搬出】</w:t>
      </w:r>
    </w:p>
    <w:p>
      <w:pPr>
        <w:pStyle w:val="15"/>
        <w:widowControl w:val="1"/>
        <w:numPr>
          <w:ilvl w:val="0"/>
          <w:numId w:val="4"/>
        </w:numPr>
        <w:ind w:leftChars="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処理先へ搬出できるものは順次搬出して処理を行い、仮置場の空きスペースを確保する。</w:t>
      </w:r>
    </w:p>
    <w:p>
      <w:pPr>
        <w:pStyle w:val="15"/>
        <w:widowControl w:val="1"/>
        <w:ind w:left="780" w:leftChars="0"/>
        <w:jc w:val="left"/>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【一次仮置場の原状復旧、返却】</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仮置場の復旧は、原状回復が基本であるが、土地所有者等との返却時のルール等がある場合は、それらに基づき実施し、土地所有者へ返還する。詳細な返却ルールが決まっていない場合は、返却前に土地所有者等と協議し、地面の表面に残った残留物の除去や土壌の漉き取り・客土、必要に応じた土壌分析等を行う。</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【二次仮置場の設置・運営・管理】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を処理処分先・再資源化先に搬出するまでの中間処理が一次仮置場において完結しない場合は、さらに破砕、細選別、焼却等の中間処理を行うとともに、処理後物を一時的に集積、保管するために二次仮置場を設置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二次仮置場では高度な中間処理が必要となることから、二次仮置場の設置・管理・運営は、技術を有する事業者に業務委託する。</w:t>
      </w:r>
    </w:p>
    <w:p>
      <w:pPr>
        <w:pStyle w:val="0"/>
        <w:rPr>
          <w:rFonts w:hint="default" w:ascii="HG丸ｺﾞｼｯｸM-PRO" w:hAnsi="HG丸ｺﾞｼｯｸM-PRO" w:eastAsia="HG丸ｺﾞｼｯｸM-PRO"/>
        </w:rPr>
      </w:pPr>
    </w:p>
    <w:p>
      <w:pPr>
        <w:pStyle w:val="3"/>
        <w:rPr>
          <w:rFonts w:hint="default"/>
        </w:rPr>
      </w:pPr>
      <w:r>
        <w:rPr>
          <w:rFonts w:hint="eastAsia"/>
        </w:rPr>
        <w:t>平時</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被害想定により推計した災害廃棄物の発生量を基に、一次仮置場の必要面積を推計すると、必要な一次仮置場は千葉県北西部直下地震の場合で約０．４ヘクタールとなる。一次仮置場の必要面積の算定方法は巻末資料を参照のこと。</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仮置場の必要面積を考慮し、市内で偏りが生じないよう、可能な限り地域毎に仮置場の候補地を選定しておく。なお、二次仮置場については、一次仮置場よりも広い面積の候補地を選定しておく。仮置場の候補地の選定に当たってのチェック項目は図表６－９に示すとおりであ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選定した仮置場の候補地はリストとして整理しておく。</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図表６－９　仮置場の候補地の選定に当たってのチェック項目</w:t>
            </w:r>
          </w:p>
        </w:tc>
      </w:tr>
    </w:tbl>
    <w:p>
      <w:pPr>
        <w:pStyle w:val="0"/>
        <w:rPr>
          <w:rFonts w:hint="default" w:ascii="HG丸ｺﾞｼｯｸM-PRO" w:hAnsi="HG丸ｺﾞｼｯｸM-PRO" w:eastAsia="HG丸ｺﾞｼｯｸM-PRO"/>
        </w:rPr>
      </w:pPr>
    </w:p>
    <w:tbl>
      <w:tblPr>
        <w:tblStyle w:val="11"/>
        <w:tblW w:w="9639" w:type="dxa"/>
        <w:tblInd w:w="0" w:type="dxa"/>
        <w:tblBorders>
          <w:top w:val="single" w:color="auto" w:sz="4" w:space="0"/>
          <w:bottom w:val="single" w:color="auto" w:sz="4" w:space="0"/>
          <w:insideH w:val="single" w:color="auto" w:sz="4" w:space="0"/>
          <w:insideV w:val="single" w:color="auto" w:sz="4" w:space="0"/>
        </w:tblBorders>
        <w:tblLayout w:type="fixed"/>
        <w:tblLook w:firstRow="1" w:lastRow="0" w:firstColumn="1" w:lastColumn="0" w:noHBand="0" w:noVBand="1" w:val="04A0"/>
      </w:tblPr>
      <w:tblGrid>
        <w:gridCol w:w="426"/>
        <w:gridCol w:w="1383"/>
        <w:gridCol w:w="4253"/>
        <w:gridCol w:w="3577"/>
      </w:tblGrid>
      <w:tr>
        <w:trPr>
          <w:tblHeader/>
        </w:trPr>
        <w:tc>
          <w:tcPr>
            <w:tcW w:w="1809" w:type="dxa"/>
            <w:gridSpan w:val="2"/>
            <w:shd w:val="clear" w:color="auto" w:fill="D9D9D9"/>
            <w:vAlign w:val="top"/>
          </w:tcPr>
          <w:p>
            <w:pPr>
              <w:pStyle w:val="0"/>
              <w:spacing w:line="30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項目</w:t>
            </w:r>
          </w:p>
        </w:tc>
        <w:tc>
          <w:tcPr>
            <w:tcW w:w="4253" w:type="dxa"/>
            <w:shd w:val="clear" w:color="auto" w:fill="D9D9D9"/>
            <w:vAlign w:val="top"/>
          </w:tcPr>
          <w:p>
            <w:pPr>
              <w:pStyle w:val="0"/>
              <w:spacing w:line="30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条件</w:t>
            </w:r>
          </w:p>
        </w:tc>
        <w:tc>
          <w:tcPr>
            <w:tcW w:w="3577" w:type="dxa"/>
            <w:shd w:val="clear" w:color="auto" w:fill="D9D9D9"/>
            <w:vAlign w:val="top"/>
          </w:tcPr>
          <w:p>
            <w:pPr>
              <w:pStyle w:val="0"/>
              <w:spacing w:line="30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理由</w:t>
            </w:r>
          </w:p>
        </w:tc>
      </w:tr>
      <w:tr>
        <w:trPr/>
        <w:tc>
          <w:tcPr>
            <w:tcW w:w="1809" w:type="dxa"/>
            <w:gridSpan w:val="2"/>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所有者</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公有地が望ましい（市有地、県有地、国有地）が望ましい。</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地域住民との関係性が良好である。</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（民有地の場合）地権者の数が少ない。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災害時には迅速な仮置場の確保が必要であるため。</w:t>
            </w:r>
          </w:p>
        </w:tc>
      </w:tr>
      <w:tr>
        <w:trPr/>
        <w:tc>
          <w:tcPr>
            <w:tcW w:w="426" w:type="dxa"/>
            <w:vMerge w:val="restart"/>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面積</w:t>
            </w:r>
          </w:p>
        </w:tc>
        <w:tc>
          <w:tcPr>
            <w:tcW w:w="1383" w:type="dxa"/>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一次仮置場</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広いほどよい。（</w:t>
            </w:r>
            <w:r>
              <w:rPr>
                <w:rFonts w:hint="eastAsia" w:ascii="HG丸ｺﾞｼｯｸM-PRO" w:hAnsi="HG丸ｺﾞｼｯｸM-PRO" w:eastAsia="HG丸ｺﾞｼｯｸM-PRO"/>
                <w:sz w:val="20"/>
              </w:rPr>
              <w:t>3,000m</w:t>
            </w:r>
            <w:r>
              <w:rPr>
                <w:rFonts w:hint="eastAsia" w:ascii="HG丸ｺﾞｼｯｸM-PRO" w:hAnsi="HG丸ｺﾞｼｯｸM-PRO" w:eastAsia="HG丸ｺﾞｼｯｸM-PRO"/>
                <w:sz w:val="20"/>
                <w:vertAlign w:val="superscript"/>
              </w:rPr>
              <w:t>2</w:t>
            </w:r>
            <w:r>
              <w:rPr>
                <w:rFonts w:hint="eastAsia" w:ascii="HG丸ｺﾞｼｯｸM-PRO" w:hAnsi="HG丸ｺﾞｼｯｸM-PRO" w:eastAsia="HG丸ｺﾞｼｯｸM-PRO"/>
                <w:sz w:val="20"/>
              </w:rPr>
              <w:t>は必要）</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適正な分別のため。</w:t>
            </w:r>
          </w:p>
        </w:tc>
      </w:tr>
      <w:tr>
        <w:trPr/>
        <w:tc>
          <w:tcPr>
            <w:tcW w:w="426" w:type="dxa"/>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1383" w:type="dxa"/>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二次仮置場</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広いほどよい。（</w:t>
            </w:r>
            <w:r>
              <w:rPr>
                <w:rFonts w:hint="eastAsia" w:ascii="HG丸ｺﾞｼｯｸM-PRO" w:hAnsi="HG丸ｺﾞｼｯｸM-PRO" w:eastAsia="HG丸ｺﾞｼｯｸM-PRO"/>
                <w:sz w:val="20"/>
              </w:rPr>
              <w:t>10</w:t>
            </w:r>
            <w:r>
              <w:rPr>
                <w:rFonts w:hint="default" w:ascii="HG丸ｺﾞｼｯｸM-PRO" w:hAnsi="HG丸ｺﾞｼｯｸM-PRO" w:eastAsia="HG丸ｺﾞｼｯｸM-PRO"/>
                <w:sz w:val="20"/>
              </w:rPr>
              <w:t>ha</w:t>
            </w:r>
            <w:r>
              <w:rPr>
                <w:rFonts w:hint="eastAsia" w:ascii="HG丸ｺﾞｼｯｸM-PRO" w:hAnsi="HG丸ｺﾞｼｯｸM-PRO" w:eastAsia="HG丸ｺﾞｼｯｸM-PRO"/>
                <w:sz w:val="20"/>
              </w:rPr>
              <w:t>以上が好適）</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仮設処理施設等を設置する場合があるため。</w:t>
            </w:r>
          </w:p>
        </w:tc>
      </w:tr>
      <w:tr>
        <w:trPr/>
        <w:tc>
          <w:tcPr>
            <w:tcW w:w="1809" w:type="dxa"/>
            <w:gridSpan w:val="2"/>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平時の土地利用</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農地、校庭、海水浴場等は避けたほうがよい。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原状復旧の負担が大きくなるため。</w:t>
            </w:r>
          </w:p>
        </w:tc>
      </w:tr>
      <w:tr>
        <w:trPr/>
        <w:tc>
          <w:tcPr>
            <w:tcW w:w="1809" w:type="dxa"/>
            <w:gridSpan w:val="2"/>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他用途での利用</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応急仮設住宅、避難場所、ヘリコプター発着場等に指定されていないほうがよい。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当該機能として利用されている時期は、仮置場として利用できないため。</w:t>
            </w:r>
          </w:p>
        </w:tc>
      </w:tr>
      <w:tr>
        <w:trPr/>
        <w:tc>
          <w:tcPr>
            <w:tcW w:w="1809" w:type="dxa"/>
            <w:gridSpan w:val="2"/>
            <w:vMerge w:val="restart"/>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望ましいインフラ（設備）</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使用水、飲料水を確保できること。（貯水槽で可）</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火災が発生した場合の対応のため。</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粉じん対策、夏場における熱中症対策のため。</w:t>
            </w:r>
          </w:p>
        </w:tc>
      </w:tr>
      <w:tr>
        <w:trPr/>
        <w:tc>
          <w:tcPr>
            <w:tcW w:w="1809" w:type="dxa"/>
            <w:gridSpan w:val="2"/>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電力が確保できること。（発電設備による対応も可）</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仮設処理施設等の電力確保のため。</w:t>
            </w:r>
          </w:p>
        </w:tc>
      </w:tr>
      <w:tr>
        <w:trPr/>
        <w:tc>
          <w:tcPr>
            <w:tcW w:w="1809" w:type="dxa"/>
            <w:gridSpan w:val="2"/>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土地利用規制</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諸法令（自然公園法、文化財保護法、土壌汚染対策法等）による土地利用の規制がない。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手続、確認に時間を要するため。</w:t>
            </w:r>
          </w:p>
        </w:tc>
      </w:tr>
      <w:tr>
        <w:trPr/>
        <w:tc>
          <w:tcPr>
            <w:tcW w:w="1809" w:type="dxa"/>
            <w:gridSpan w:val="2"/>
            <w:vMerge w:val="restart"/>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土地基盤の状況</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舗装されているほうがよい。</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水はけの悪い場所は避けたほうがよい。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土壌汚染、ぬかるみ等の防止のため。</w:t>
            </w:r>
          </w:p>
        </w:tc>
      </w:tr>
      <w:tr>
        <w:trPr/>
        <w:tc>
          <w:tcPr>
            <w:tcW w:w="1809" w:type="dxa"/>
            <w:gridSpan w:val="2"/>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地盤が硬いほうがよい。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地盤沈下が発生しやすいため。</w:t>
            </w:r>
          </w:p>
        </w:tc>
      </w:tr>
      <w:tr>
        <w:trPr/>
        <w:tc>
          <w:tcPr>
            <w:tcW w:w="1809" w:type="dxa"/>
            <w:gridSpan w:val="2"/>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暗渠排水管が存在しないほうがよい。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災害廃棄物の重量で暗渠排水管を破損する可能性があるため。</w:t>
            </w:r>
          </w:p>
        </w:tc>
      </w:tr>
      <w:tr>
        <w:trPr/>
        <w:tc>
          <w:tcPr>
            <w:tcW w:w="1809" w:type="dxa"/>
            <w:gridSpan w:val="2"/>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河川敷は避けたほうがよい。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集中豪雨や台風等増水の影響を避けるため。</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災害廃棄物に触れた水が河川等へ流出することを防ぐため。</w:t>
            </w:r>
          </w:p>
        </w:tc>
      </w:tr>
      <w:tr>
        <w:trPr/>
        <w:tc>
          <w:tcPr>
            <w:tcW w:w="1809" w:type="dxa"/>
            <w:gridSpan w:val="2"/>
            <w:vMerge w:val="restart"/>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地形・地勢</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平坦な土地がよい。起伏が少ない土地がよい。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廃棄物の崩落を防ぐため。</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車両の切り返し、仮置場のレイアウトの変更が難しいため。</w:t>
            </w:r>
          </w:p>
        </w:tc>
      </w:tr>
      <w:tr>
        <w:trPr/>
        <w:tc>
          <w:tcPr>
            <w:tcW w:w="1809" w:type="dxa"/>
            <w:gridSpan w:val="2"/>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敷地内に障害物（構造物や樹木等）が少ないほうがよい。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迅速な仮置場の整備のため。</w:t>
            </w:r>
          </w:p>
        </w:tc>
      </w:tr>
      <w:tr>
        <w:trPr/>
        <w:tc>
          <w:tcPr>
            <w:tcW w:w="1809" w:type="dxa"/>
            <w:gridSpan w:val="2"/>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土地の形状</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変則形状でないほうがよい。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仮置場の配置計画が難しいため。</w:t>
            </w:r>
          </w:p>
        </w:tc>
      </w:tr>
      <w:tr>
        <w:trPr/>
        <w:tc>
          <w:tcPr>
            <w:tcW w:w="1809" w:type="dxa"/>
            <w:gridSpan w:val="2"/>
            <w:vMerge w:val="restart"/>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道路状況</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前面道路の交通量は少ない方がよい。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災害廃棄物の搬入・搬出は交通渋滞を引き起こすことが多く、渋滞による影響がその他の方面に及ばないようにするため。</w:t>
            </w:r>
          </w:p>
        </w:tc>
      </w:tr>
      <w:tr>
        <w:trPr/>
        <w:tc>
          <w:tcPr>
            <w:tcW w:w="1809" w:type="dxa"/>
            <w:gridSpan w:val="2"/>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前面道路は幅員</w:t>
            </w:r>
            <w:r>
              <w:rPr>
                <w:rFonts w:hint="eastAsia" w:ascii="HG丸ｺﾞｼｯｸM-PRO" w:hAnsi="HG丸ｺﾞｼｯｸM-PRO" w:eastAsia="HG丸ｺﾞｼｯｸM-PRO"/>
                <w:sz w:val="20"/>
              </w:rPr>
              <w:t>6.0m</w:t>
            </w:r>
            <w:r>
              <w:rPr>
                <w:rFonts w:hint="eastAsia" w:ascii="HG丸ｺﾞｼｯｸM-PRO" w:hAnsi="HG丸ｺﾞｼｯｸM-PRO" w:eastAsia="HG丸ｺﾞｼｯｸM-PRO"/>
                <w:sz w:val="20"/>
              </w:rPr>
              <w:t>以上がよい。二車線以上がよい。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大型車両の相互通行のため。</w:t>
            </w:r>
          </w:p>
        </w:tc>
      </w:tr>
      <w:tr>
        <w:trPr/>
        <w:tc>
          <w:tcPr>
            <w:tcW w:w="1809" w:type="dxa"/>
            <w:gridSpan w:val="2"/>
            <w:vMerge w:val="restart"/>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搬入・搬出ルート</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車両の出入口を確保できること。</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災害廃棄物の搬入・搬出のため。</w:t>
            </w:r>
          </w:p>
        </w:tc>
      </w:tr>
      <w:tr>
        <w:trPr/>
        <w:tc>
          <w:tcPr>
            <w:tcW w:w="1809" w:type="dxa"/>
            <w:gridSpan w:val="2"/>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搬入・搬出の間口は</w:t>
            </w:r>
            <w:r>
              <w:rPr>
                <w:rFonts w:hint="eastAsia" w:ascii="HG丸ｺﾞｼｯｸM-PRO" w:hAnsi="HG丸ｺﾞｼｯｸM-PRO" w:eastAsia="HG丸ｺﾞｼｯｸM-PRO"/>
                <w:sz w:val="20"/>
              </w:rPr>
              <w:t>9.0</w:t>
            </w:r>
            <w:r>
              <w:rPr>
                <w:rFonts w:hint="eastAsia" w:ascii="HG丸ｺﾞｼｯｸM-PRO" w:hAnsi="HG丸ｺﾞｼｯｸM-PRO" w:eastAsia="HG丸ｺﾞｼｯｸM-PRO"/>
                <w:sz w:val="20"/>
              </w:rPr>
              <w:t>ｍ以上がよい。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大型車両の交互通行のため。</w:t>
            </w:r>
          </w:p>
        </w:tc>
      </w:tr>
      <w:tr>
        <w:trPr/>
        <w:tc>
          <w:tcPr>
            <w:tcW w:w="1809" w:type="dxa"/>
            <w:gridSpan w:val="2"/>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輸送ルート</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高速道路のインターチェンジ、緊急輸送道路、鉄道貨物駅、港湾</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積出基地</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に近いほうがよい。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広域輸送を行う際に効率的に災害廃棄物を輸送するため。</w:t>
            </w:r>
          </w:p>
        </w:tc>
      </w:tr>
      <w:tr>
        <w:trPr/>
        <w:tc>
          <w:tcPr>
            <w:tcW w:w="1809" w:type="dxa"/>
            <w:gridSpan w:val="2"/>
            <w:vMerge w:val="restart"/>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周辺環境</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住宅密集地でないこと、病院、福祉施設、学校に隣接していないほうがよい。</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企業活動や農林水産業、住民の生業の妨げにならない場所がよい。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粉じん、騒音、振動等による住民生活への影響を防止するため。</w:t>
            </w:r>
          </w:p>
        </w:tc>
      </w:tr>
      <w:tr>
        <w:trPr/>
        <w:tc>
          <w:tcPr>
            <w:tcW w:w="1809" w:type="dxa"/>
            <w:gridSpan w:val="2"/>
            <w:vMerge w:val="continue"/>
            <w:shd w:val="clear" w:color="auto" w:fill="auto"/>
            <w:vAlign w:val="top"/>
          </w:tcPr>
          <w:p>
            <w:pPr>
              <w:pStyle w:val="0"/>
              <w:spacing w:line="300" w:lineRule="exact"/>
              <w:rPr>
                <w:rFonts w:hint="default" w:ascii="HG丸ｺﾞｼｯｸM-PRO" w:hAnsi="HG丸ｺﾞｼｯｸM-PRO" w:eastAsia="HG丸ｺﾞｼｯｸM-PRO"/>
                <w:sz w:val="20"/>
              </w:rPr>
            </w:pP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高速道路や鉄道路線に近接していないほうがよい。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火災発生時の高速道路や鉄道への影響を防ぐため。</w:t>
            </w:r>
          </w:p>
        </w:tc>
      </w:tr>
      <w:tr>
        <w:trPr/>
        <w:tc>
          <w:tcPr>
            <w:tcW w:w="1809" w:type="dxa"/>
            <w:gridSpan w:val="2"/>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被害の有無</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各種災害（津波、洪水、液状化、土石流等）の被災エリアでないほうがよい。</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二次災害の発生を防ぐため。</w:t>
            </w:r>
          </w:p>
        </w:tc>
      </w:tr>
      <w:tr>
        <w:trPr/>
        <w:tc>
          <w:tcPr>
            <w:tcW w:w="1809" w:type="dxa"/>
            <w:gridSpan w:val="2"/>
            <w:shd w:val="clear" w:color="auto" w:fill="auto"/>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その他</w:t>
            </w:r>
          </w:p>
        </w:tc>
        <w:tc>
          <w:tcPr>
            <w:tcW w:w="4253"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道路啓開の優先順位を考慮する。</w:t>
            </w:r>
          </w:p>
        </w:tc>
        <w:tc>
          <w:tcPr>
            <w:tcW w:w="3577" w:type="dxa"/>
            <w:shd w:val="clear" w:color="auto" w:fill="auto"/>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早期に復旧される運搬ルートを活用するため。</w:t>
            </w: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sz w:val="18"/>
        </w:rPr>
        <w:t>出典：「仮置場の確保と配置計画に当たっての留意事項」（災害廃棄物対策指針</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技術資料</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技</w:t>
      </w:r>
      <w:r>
        <w:rPr>
          <w:rFonts w:hint="eastAsia" w:ascii="HG丸ｺﾞｼｯｸM-PRO" w:hAnsi="HG丸ｺﾞｼｯｸM-PRO" w:eastAsia="HG丸ｺﾞｼｯｸM-PRO"/>
          <w:sz w:val="18"/>
        </w:rPr>
        <w:t>18-3</w:t>
      </w:r>
      <w:r>
        <w:rPr>
          <w:rFonts w:hint="eastAsia" w:ascii="HG丸ｺﾞｼｯｸM-PRO" w:hAnsi="HG丸ｺﾞｼｯｸM-PRO" w:eastAsia="HG丸ｺﾞｼｯｸM-PRO"/>
          <w:sz w:val="18"/>
        </w:rPr>
        <w:t>）に基づき作成</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第５節　処理・処分</w:t>
            </w:r>
          </w:p>
        </w:tc>
      </w:tr>
    </w:tbl>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災害廃棄物は、種類や性状に応じて破砕・選別や焼却等の中間処理を行い、再生利用、最終処分を行う。可能な限り既存の廃棄物処理施設で処理し、一部事務組合で処理しきれない場合には、県内市町村の支援による処理及び県内の事業者による処理を行う。</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処理方法や処理業務の発注については、生活環境に支障が生じないよう廃棄物処理法等の関連法令に従い、適正に処理することを基本とし、再生利用の推進と最終処分量の削減、処理のスピード及び費用の点を含めて総合的に検討して決定する。</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（１）災害時</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【処理・処分】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選別・破砕や焼却等の中間処理を行い、再生利用、最終処分を行う。中間処理、最終処分は可能な限り既存の処理施設で行う。公共の処理施設で処理できないものについては、民間事業者に処理を委託する。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既存の処理施設では処理能力が不足する場合には、千葉県を通じて支援要請を行い、県内の市町村（一部事務組合）や民間事業者による処理を行う。また、県内での処理が困難な場合には、</w:t>
      </w:r>
      <w:r>
        <w:rPr>
          <w:rFonts w:hint="eastAsia" w:ascii="HG丸ｺﾞｼｯｸM-PRO" w:hAnsi="HG丸ｺﾞｼｯｸM-PRO" w:eastAsia="HG丸ｺﾞｼｯｸM-PRO"/>
        </w:rPr>
        <w:t>D.Waste-Net</w:t>
      </w:r>
      <w:r>
        <w:rPr>
          <w:rFonts w:hint="eastAsia" w:ascii="HG丸ｺﾞｼｯｸM-PRO" w:hAnsi="HG丸ｺﾞｼｯｸM-PRO" w:eastAsia="HG丸ｺﾞｼｯｸM-PRO"/>
        </w:rPr>
        <w:t>による広域処理等の支援を要請する。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混合廃棄物や廃棄物を含んだ土砂等は、必要に応じて仮設処理施設を設置して、選別・破砕等の中間処理を行った後、必要に応じて試験焼却等を行い</w:t>
      </w:r>
      <w:r>
        <w:rPr>
          <w:rFonts w:hint="eastAsia" w:ascii="HG丸ｺﾞｼｯｸM-PRO" w:hAnsi="HG丸ｺﾞｼｯｸM-PRO" w:eastAsia="HG丸ｺﾞｼｯｸM-PRO"/>
          <w:color w:val="00B050"/>
        </w:rPr>
        <w:t>、</w:t>
      </w:r>
      <w:r>
        <w:rPr>
          <w:rFonts w:hint="eastAsia" w:ascii="HG丸ｺﾞｼｯｸM-PRO" w:hAnsi="HG丸ｺﾞｼｯｸM-PRO" w:eastAsia="HG丸ｺﾞｼｯｸM-PRO"/>
        </w:rPr>
        <w:t>既存の処理施設で処理を行う。仮設処理施設及び二次仮置場設置に係る仕様作成・設計・積算を行い、処理業務を発注する。</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【再生利用】</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セメント原燃料や建設土木資材、バイオマスボイラー</w:t>
      </w:r>
      <w:r>
        <w:rPr>
          <w:rFonts w:hint="eastAsia" w:ascii="HG丸ｺﾞｼｯｸM-PRO" w:hAnsi="HG丸ｺﾞｼｯｸM-PRO" w:eastAsia="HG丸ｺﾞｼｯｸM-PRO"/>
          <w:vertAlign w:val="superscript"/>
        </w:rPr>
        <w:t>※</w:t>
      </w:r>
      <w:r>
        <w:rPr>
          <w:rFonts w:hint="eastAsia" w:ascii="HG丸ｺﾞｼｯｸM-PRO" w:hAnsi="HG丸ｺﾞｼｯｸM-PRO" w:eastAsia="HG丸ｺﾞｼｯｸM-PRO"/>
        </w:rPr>
        <w:t>用燃料等の再生利用先を確保し、その受入条件に適合するように災害廃棄物を前処理する。なお、処理した資材が活用されるまで仮置きするための保管場所を仮置場内に確保する。</w:t>
      </w:r>
    </w:p>
    <w:tbl>
      <w:tblPr>
        <w:tblStyle w:val="45"/>
        <w:tblW w:w="8956" w:type="dxa"/>
        <w:tblInd w:w="78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firstRow="1" w:lastRow="0" w:firstColumn="1" w:lastColumn="0" w:noHBand="0" w:noVBand="1" w:val="04A0"/>
      </w:tblPr>
      <w:tblGrid>
        <w:gridCol w:w="8956"/>
      </w:tblGrid>
      <w:tr>
        <w:trPr/>
        <w:tc>
          <w:tcPr>
            <w:tcW w:w="9736" w:type="dxa"/>
            <w:vAlign w:val="top"/>
          </w:tcPr>
          <w:p>
            <w:pPr>
              <w:pStyle w:val="15"/>
              <w:ind w:left="210" w:leftChars="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※バイオマスボイラー</w:t>
            </w:r>
          </w:p>
          <w:p>
            <w:pPr>
              <w:pStyle w:val="15"/>
              <w:ind w:left="420" w:leftChars="1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…主に木くずを燃料としたボイラーである。熱や蒸気を利用する工場や発電のために設置されている。災害廃棄物処理においても木くずの利用先として重要である。</w:t>
            </w:r>
          </w:p>
        </w:tc>
      </w:tr>
    </w:tbl>
    <w:p>
      <w:pPr>
        <w:pStyle w:val="15"/>
        <w:ind w:left="780" w:left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（２）平時</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【廃棄物の種類毎の処理方法の検討】</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可能な限り再生利用することを基本とし、廃棄物（選別後）の種類毎に処理方法を検討しておく。</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焼却処理、最終処分は可能な限り既存の処理施設で行う。公共の処理施設で処理できないものについては、民間事業者に処理を委託したり、県を通して県内又は県外での処理を要請する。</w:t>
      </w:r>
    </w:p>
    <w:p>
      <w:pPr>
        <w:pStyle w:val="0"/>
        <w:numPr>
          <w:ilvl w:val="0"/>
          <w:numId w:val="4"/>
        </w:numPr>
        <w:rPr>
          <w:rFonts w:hint="default" w:ascii="HG丸ｺﾞｼｯｸM-PRO" w:hAnsi="HG丸ｺﾞｼｯｸM-PRO" w:eastAsia="HG丸ｺﾞｼｯｸM-PRO"/>
        </w:rPr>
      </w:pPr>
      <w:r>
        <w:rPr>
          <w:rFonts w:hint="eastAsia"/>
        </w:rPr>
        <w:br w:type="page"/>
      </w:r>
    </w:p>
    <w:tbl>
      <w:tblPr>
        <w:tblStyle w:val="45"/>
        <w:tblW w:w="8956" w:type="dxa"/>
        <w:tblInd w:w="78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firstRow="1" w:lastRow="0" w:firstColumn="1" w:lastColumn="0" w:noHBand="0" w:noVBand="1" w:val="04A0"/>
      </w:tblPr>
      <w:tblGrid>
        <w:gridCol w:w="8956"/>
      </w:tblGrid>
      <w:tr>
        <w:trPr/>
        <w:tc>
          <w:tcPr>
            <w:tcW w:w="895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【参考１】混合廃棄物の処理（例）</w:t>
            </w:r>
          </w:p>
          <w:p>
            <w:pPr>
              <w:pStyle w:val="15"/>
              <w:numPr>
                <w:ilvl w:val="0"/>
                <w:numId w:val="4"/>
              </w:numPr>
              <w:ind w:left="383" w:leftChars="0" w:hanging="383"/>
              <w:rPr>
                <w:rFonts w:hint="default" w:ascii="HG丸ｺﾞｼｯｸM-PRO" w:hAnsi="HG丸ｺﾞｼｯｸM-PRO" w:eastAsia="HG丸ｺﾞｼｯｸM-PRO"/>
              </w:rPr>
            </w:pPr>
            <w:r>
              <w:rPr>
                <w:rFonts w:hint="eastAsia" w:ascii="HG丸ｺﾞｼｯｸM-PRO" w:hAnsi="HG丸ｺﾞｼｯｸM-PRO" w:eastAsia="HG丸ｺﾞｼｯｸM-PRO"/>
              </w:rPr>
              <w:t>混合廃棄物は、可燃物、不燃物、細かいコンクリート片、土砂、金属等を含むため、できるだけ選別することで再生利用を図る。また、危険物や思い出の品等を含むこともあるため、これらに留意して処理を行う。</w:t>
            </w:r>
          </w:p>
          <w:p>
            <w:pPr>
              <w:pStyle w:val="15"/>
              <w:numPr>
                <w:ilvl w:val="0"/>
                <w:numId w:val="4"/>
              </w:numPr>
              <w:ind w:left="383" w:leftChars="0" w:hanging="383"/>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図表６－１０のように重機による選別・手選別の他、複数の破砕・選別工程で処理する。混合廃棄物の性状に応じて適切な選別方法を選択する。</w:t>
            </w:r>
          </w:p>
          <w:p>
            <w:pPr>
              <w:pStyle w:val="15"/>
              <w:ind w:left="383" w:leftChars="0"/>
              <w:rPr>
                <w:rFonts w:hint="default" w:ascii="HG丸ｺﾞｼｯｸM-PRO" w:hAnsi="HG丸ｺﾞｼｯｸM-PRO" w:eastAsia="HG丸ｺﾞｼｯｸM-PRO"/>
              </w:rPr>
            </w:pPr>
          </w:p>
          <w:tbl>
            <w:tblPr>
              <w:tblStyle w:val="45"/>
              <w:tblW w:w="87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8740"/>
            </w:tblGrid>
            <w:tr>
              <w:trPr>
                <w:trHeight w:val="346" w:hRule="atLeast"/>
              </w:trPr>
              <w:tc>
                <w:tcPr>
                  <w:tcW w:w="8740"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図表６－１０　混合廃棄物の処理（例）</w:t>
                  </w:r>
                </w:p>
              </w:tc>
            </w:tr>
          </w:tbl>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drawing>
                <wp:inline distT="0" distB="0" distL="0" distR="0">
                  <wp:extent cx="5153660" cy="2713355"/>
                  <wp:effectExtent l="0" t="0" r="0" b="0"/>
                  <wp:docPr id="1029" name="Picture 2"/>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13"/>
                          <a:stretch>
                            <a:fillRect/>
                          </a:stretch>
                        </pic:blipFill>
                        <pic:spPr>
                          <a:xfrm>
                            <a:off x="0" y="0"/>
                            <a:ext cx="5153660" cy="2713355"/>
                          </a:xfrm>
                          <a:prstGeom prst="rect">
                            <a:avLst/>
                          </a:prstGeom>
                          <a:noFill/>
                          <a:ln>
                            <a:noFill/>
                          </a:ln>
                        </pic:spPr>
                      </pic:pic>
                    </a:graphicData>
                  </a:graphic>
                </wp:inline>
              </w:drawing>
            </w:r>
          </w:p>
          <w:p>
            <w:pPr>
              <w:pStyle w:val="22"/>
              <w:spacing w:line="240" w:lineRule="exact"/>
              <w:ind w:left="540" w:hanging="540" w:hangingChars="300"/>
              <w:rPr>
                <w:rFonts w:hint="default" w:ascii="HG丸ｺﾞｼｯｸM-PRO" w:hAnsi="HG丸ｺﾞｼｯｸM-PRO" w:eastAsia="HG丸ｺﾞｼｯｸM-PRO"/>
              </w:rPr>
            </w:pPr>
            <w:r>
              <w:rPr>
                <w:rFonts w:hint="eastAsia" w:ascii="HG丸ｺﾞｼｯｸM-PRO" w:hAnsi="HG丸ｺﾞｼｯｸM-PRO" w:eastAsia="HG丸ｺﾞｼｯｸM-PRO"/>
                <w:sz w:val="18"/>
              </w:rPr>
              <w:t>出典：「東日本大震災により発生した被災</w:t>
            </w:r>
            <w:r>
              <w:rPr>
                <w:rFonts w:hint="default" w:ascii="HG丸ｺﾞｼｯｸM-PRO" w:hAnsi="HG丸ｺﾞｼｯｸM-PRO" w:eastAsia="HG丸ｺﾞｼｯｸM-PRO"/>
                <w:sz w:val="18"/>
              </w:rPr>
              <w:t>3</w:t>
            </w:r>
            <w:r>
              <w:rPr>
                <w:rFonts w:hint="eastAsia" w:ascii="HG丸ｺﾞｼｯｸM-PRO" w:hAnsi="HG丸ｺﾞｼｯｸM-PRO" w:eastAsia="HG丸ｺﾞｼｯｸM-PRO"/>
                <w:sz w:val="18"/>
              </w:rPr>
              <w:t>県（岩手県・宮城県・福島県）における災害廃棄物等の処理の記録」（平成</w:t>
            </w:r>
            <w:r>
              <w:rPr>
                <w:rFonts w:hint="default" w:ascii="HG丸ｺﾞｼｯｸM-PRO" w:hAnsi="HG丸ｺﾞｼｯｸM-PRO" w:eastAsia="HG丸ｺﾞｼｯｸM-PRO"/>
                <w:sz w:val="18"/>
              </w:rPr>
              <w:t>26</w:t>
            </w:r>
            <w:r>
              <w:rPr>
                <w:rFonts w:hint="eastAsia" w:ascii="HG丸ｺﾞｼｯｸM-PRO" w:hAnsi="HG丸ｺﾞｼｯｸM-PRO" w:eastAsia="HG丸ｺﾞｼｯｸM-PRO"/>
                <w:sz w:val="18"/>
              </w:rPr>
              <w:t>年</w:t>
            </w:r>
            <w:r>
              <w:rPr>
                <w:rFonts w:hint="default" w:ascii="HG丸ｺﾞｼｯｸM-PRO" w:hAnsi="HG丸ｺﾞｼｯｸM-PRO" w:eastAsia="HG丸ｺﾞｼｯｸM-PRO"/>
                <w:sz w:val="18"/>
              </w:rPr>
              <w:t>9</w:t>
            </w:r>
            <w:r>
              <w:rPr>
                <w:rFonts w:hint="eastAsia" w:ascii="HG丸ｺﾞｼｯｸM-PRO" w:hAnsi="HG丸ｺﾞｼｯｸM-PRO" w:eastAsia="HG丸ｺﾞｼｯｸM-PRO"/>
                <w:sz w:val="18"/>
              </w:rPr>
              <w:t>月、東北地方環境事務所）</w:t>
            </w:r>
          </w:p>
          <w:p>
            <w:pPr>
              <w:pStyle w:val="0"/>
              <w:rPr>
                <w:rFonts w:hint="default" w:ascii="HG丸ｺﾞｼｯｸM-PRO" w:hAnsi="HG丸ｺﾞｼｯｸM-PRO" w:eastAsia="HG丸ｺﾞｼｯｸM-PRO"/>
              </w:rPr>
            </w:pPr>
          </w:p>
          <w:tbl>
            <w:tblPr>
              <w:tblStyle w:val="45"/>
              <w:tblW w:w="87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365"/>
              <w:gridCol w:w="4365"/>
            </w:tblGrid>
            <w:tr>
              <w:trPr/>
              <w:tc>
                <w:tcPr>
                  <w:tcW w:w="4365" w:type="dxa"/>
                  <w:vAlign w:val="top"/>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630170" cy="1957705"/>
                        <wp:effectExtent l="0" t="0" r="0" b="0"/>
                        <wp:docPr id="1030" name="Picture 3"/>
                        <a:graphic xmlns:a="http://schemas.openxmlformats.org/drawingml/2006/main">
                          <a:graphicData uri="http://schemas.openxmlformats.org/drawingml/2006/picture">
                            <pic:pic xmlns:pic="http://schemas.openxmlformats.org/drawingml/2006/picture">
                              <pic:nvPicPr>
                                <pic:cNvPr id="1030" name="Picture 3"/>
                                <pic:cNvPicPr>
                                  <a:picLocks noChangeAspect="1" noChangeArrowheads="1"/>
                                </pic:cNvPicPr>
                              </pic:nvPicPr>
                              <pic:blipFill>
                                <a:blip r:embed="rId14"/>
                                <a:stretch>
                                  <a:fillRect/>
                                </a:stretch>
                              </pic:blipFill>
                              <pic:spPr>
                                <a:xfrm>
                                  <a:off x="0" y="0"/>
                                  <a:ext cx="2630170" cy="1957705"/>
                                </a:xfrm>
                                <a:prstGeom prst="rect">
                                  <a:avLst/>
                                </a:prstGeom>
                                <a:noFill/>
                                <a:ln>
                                  <a:noFill/>
                                </a:ln>
                              </pic:spPr>
                            </pic:pic>
                          </a:graphicData>
                        </a:graphic>
                      </wp:inline>
                    </w:drawing>
                  </w:r>
                </w:p>
              </w:tc>
              <w:tc>
                <w:tcPr>
                  <w:tcW w:w="4365" w:type="dxa"/>
                  <w:vAlign w:val="top"/>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595880" cy="1957705"/>
                        <wp:effectExtent l="0" t="0" r="0" b="0"/>
                        <wp:docPr id="1031" name="Picture 4"/>
                        <a:graphic xmlns:a="http://schemas.openxmlformats.org/drawingml/2006/main">
                          <a:graphicData uri="http://schemas.openxmlformats.org/drawingml/2006/picture">
                            <pic:pic xmlns:pic="http://schemas.openxmlformats.org/drawingml/2006/picture">
                              <pic:nvPicPr>
                                <pic:cNvPr id="1031" name="Picture 4"/>
                                <pic:cNvPicPr>
                                  <a:picLocks noChangeAspect="1" noChangeArrowheads="1"/>
                                </pic:cNvPicPr>
                              </pic:nvPicPr>
                              <pic:blipFill>
                                <a:blip r:embed="rId15"/>
                                <a:stretch>
                                  <a:fillRect/>
                                </a:stretch>
                              </pic:blipFill>
                              <pic:spPr>
                                <a:xfrm>
                                  <a:off x="0" y="0"/>
                                  <a:ext cx="2595880" cy="1957705"/>
                                </a:xfrm>
                                <a:prstGeom prst="rect">
                                  <a:avLst/>
                                </a:prstGeom>
                                <a:noFill/>
                                <a:ln>
                                  <a:noFill/>
                                </a:ln>
                              </pic:spPr>
                            </pic:pic>
                          </a:graphicData>
                        </a:graphic>
                      </wp:inline>
                    </w:drawing>
                  </w:r>
                </w:p>
              </w:tc>
            </w:tr>
            <w:tr>
              <w:trPr/>
              <w:tc>
                <w:tcPr>
                  <w:tcW w:w="4365"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仮設施設内の手選別工程</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（宮城県岩沼市、平成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w:t>
                  </w:r>
                  <w:r>
                    <w:rPr>
                      <w:rFonts w:hint="default" w:ascii="HG丸ｺﾞｼｯｸM-PRO" w:hAnsi="HG丸ｺﾞｼｯｸM-PRO" w:eastAsia="HG丸ｺﾞｼｯｸM-PRO"/>
                    </w:rPr>
                    <w:t>2</w:t>
                  </w:r>
                  <w:r>
                    <w:rPr>
                      <w:rFonts w:hint="eastAsia" w:ascii="HG丸ｺﾞｼｯｸM-PRO" w:hAnsi="HG丸ｺﾞｼｯｸM-PRO" w:eastAsia="HG丸ｺﾞｼｯｸM-PRO"/>
                    </w:rPr>
                    <w:t>月）</w:t>
                  </w:r>
                </w:p>
              </w:tc>
              <w:tc>
                <w:tcPr>
                  <w:tcW w:w="4365"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可燃物の貯留ヤード</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（宮城県石巻市、平成</w:t>
                  </w:r>
                  <w:r>
                    <w:rPr>
                      <w:rFonts w:hint="default" w:ascii="HG丸ｺﾞｼｯｸM-PRO" w:hAnsi="HG丸ｺﾞｼｯｸM-PRO" w:eastAsia="HG丸ｺﾞｼｯｸM-PRO"/>
                    </w:rPr>
                    <w:t>25</w:t>
                  </w:r>
                  <w:r>
                    <w:rPr>
                      <w:rFonts w:hint="eastAsia" w:ascii="HG丸ｺﾞｼｯｸM-PRO" w:hAnsi="HG丸ｺﾞｼｯｸM-PRO" w:eastAsia="HG丸ｺﾞｼｯｸM-PRO"/>
                    </w:rPr>
                    <w:t>年</w:t>
                  </w:r>
                  <w:r>
                    <w:rPr>
                      <w:rFonts w:hint="default" w:ascii="HG丸ｺﾞｼｯｸM-PRO" w:hAnsi="HG丸ｺﾞｼｯｸM-PRO" w:eastAsia="HG丸ｺﾞｼｯｸM-PRO"/>
                    </w:rPr>
                    <w:t>6</w:t>
                  </w:r>
                  <w:r>
                    <w:rPr>
                      <w:rFonts w:hint="eastAsia" w:ascii="HG丸ｺﾞｼｯｸM-PRO" w:hAnsi="HG丸ｺﾞｼｯｸM-PRO" w:eastAsia="HG丸ｺﾞｼｯｸM-PRO"/>
                    </w:rPr>
                    <w:t>月）</w:t>
                  </w:r>
                </w:p>
              </w:tc>
            </w:tr>
          </w:tbl>
          <w:p>
            <w:pPr>
              <w:pStyle w:val="22"/>
              <w:spacing w:line="240" w:lineRule="exact"/>
              <w:ind w:left="720" w:hanging="720" w:hangingChars="300"/>
              <w:rPr>
                <w:rFonts w:hint="default" w:ascii="HG丸ｺﾞｼｯｸM-PRO" w:hAnsi="HG丸ｺﾞｼｯｸM-PRO" w:eastAsia="HG丸ｺﾞｼｯｸM-PRO"/>
              </w:rPr>
            </w:pPr>
          </w:p>
        </w:tc>
      </w:tr>
    </w:tbl>
    <w:p>
      <w:pPr>
        <w:pStyle w:val="0"/>
        <w:ind w:firstLine="210" w:firstLineChars="10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8956" w:type="dxa"/>
        <w:tblInd w:w="78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firstRow="1" w:lastRow="0" w:firstColumn="1" w:lastColumn="0" w:noHBand="0" w:noVBand="1" w:val="04A0"/>
      </w:tblPr>
      <w:tblGrid>
        <w:gridCol w:w="8956"/>
      </w:tblGrid>
      <w:tr>
        <w:trPr/>
        <w:tc>
          <w:tcPr>
            <w:tcW w:w="895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【参考２】多量の土砂や汚泥を含む災害廃棄物に関して（津波堆積物の例を参考とした処理）</w:t>
            </w:r>
          </w:p>
          <w:p>
            <w:pPr>
              <w:pStyle w:val="15"/>
              <w:numPr>
                <w:ilvl w:val="0"/>
                <w:numId w:val="4"/>
              </w:numPr>
              <w:ind w:left="383" w:leftChars="0" w:hanging="383"/>
              <w:rPr>
                <w:rFonts w:hint="default" w:ascii="HG丸ｺﾞｼｯｸM-PRO" w:hAnsi="HG丸ｺﾞｼｯｸM-PRO" w:eastAsia="HG丸ｺﾞｼｯｸM-PRO"/>
              </w:rPr>
            </w:pPr>
            <w:r>
              <w:rPr>
                <w:rFonts w:hint="eastAsia" w:ascii="HG丸ｺﾞｼｯｸM-PRO" w:hAnsi="HG丸ｺﾞｼｯｸM-PRO" w:eastAsia="HG丸ｺﾞｼｯｸM-PRO"/>
              </w:rPr>
              <w:t>大規模な土砂崩れなどで発生する、多量の土砂や汚泥を含む災害廃棄物処理については、津波堆積物の処理に関する例を参考とする。</w:t>
            </w:r>
          </w:p>
          <w:p>
            <w:pPr>
              <w:pStyle w:val="15"/>
              <w:numPr>
                <w:ilvl w:val="0"/>
                <w:numId w:val="4"/>
              </w:numPr>
              <w:ind w:left="383" w:leftChars="0" w:hanging="383"/>
              <w:rPr>
                <w:rFonts w:hint="default" w:ascii="HG丸ｺﾞｼｯｸM-PRO" w:hAnsi="HG丸ｺﾞｼｯｸM-PRO" w:eastAsia="HG丸ｺﾞｼｯｸM-PRO"/>
              </w:rPr>
            </w:pPr>
            <w:r>
              <w:rPr>
                <w:rFonts w:hint="eastAsia" w:ascii="HG丸ｺﾞｼｯｸM-PRO" w:hAnsi="HG丸ｺﾞｼｯｸM-PRO" w:eastAsia="HG丸ｺﾞｼｯｸM-PRO"/>
              </w:rPr>
              <w:t>津波堆積物は、土砂・泥状物とともに陸上に存在していた様々なものを巻き込んだ性状である。金属類・可燃物等を選別し、ふるいによる粒度調整を行う乾式処理が基本であるが、処理前に津波堆積物の重金属等を分析し、汚染が認められたものは湿式洗浄を加えた湿式処理を行う。含水率が高い場合は、改質剤を添加する等して主にふるいによる粒度選別を行い、建設土木資材として再生利用を図る。</w:t>
            </w:r>
          </w:p>
          <w:p>
            <w:pPr>
              <w:pStyle w:val="15"/>
              <w:ind w:left="383" w:leftChars="0"/>
              <w:rPr>
                <w:rFonts w:hint="default" w:ascii="HG丸ｺﾞｼｯｸM-PRO" w:hAnsi="HG丸ｺﾞｼｯｸM-PRO" w:eastAsia="HG丸ｺﾞｼｯｸM-PRO"/>
                <w:color w:val="FF0000"/>
              </w:rPr>
            </w:pPr>
          </w:p>
          <w:tbl>
            <w:tblPr>
              <w:tblStyle w:val="45"/>
              <w:tblW w:w="87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8740"/>
            </w:tblGrid>
            <w:tr>
              <w:trPr>
                <w:trHeight w:val="346" w:hRule="atLeast"/>
              </w:trPr>
              <w:tc>
                <w:tcPr>
                  <w:tcW w:w="8740" w:type="dxa"/>
                  <w:shd w:val="clear" w:color="auto" w:themeFill="background1" w:themeFillTint="FF" w:themeFillShade="D9"/>
                  <w:vAlign w:val="top"/>
                </w:tcPr>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rPr>
                    <w:t>図表６－１１　津波堆積物の処理（例）</w:t>
                  </w:r>
                </w:p>
              </w:tc>
            </w:tr>
          </w:tbl>
          <w:p>
            <w:pPr>
              <w:pStyle w:val="0"/>
              <w:jc w:val="center"/>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drawing>
                <wp:inline distT="0" distB="0" distL="0" distR="0">
                  <wp:extent cx="5276215" cy="5721350"/>
                  <wp:effectExtent l="0" t="0" r="0" b="0"/>
                  <wp:docPr id="1032" name="Picture 5"/>
                  <a:graphic xmlns:a="http://schemas.openxmlformats.org/drawingml/2006/main">
                    <a:graphicData uri="http://schemas.openxmlformats.org/drawingml/2006/picture">
                      <pic:pic xmlns:pic="http://schemas.openxmlformats.org/drawingml/2006/picture">
                        <pic:nvPicPr>
                          <pic:cNvPr id="1032" name="Picture 5"/>
                          <pic:cNvPicPr>
                            <a:picLocks noChangeAspect="1" noChangeArrowheads="1"/>
                          </pic:cNvPicPr>
                        </pic:nvPicPr>
                        <pic:blipFill>
                          <a:blip r:embed="rId16"/>
                          <a:stretch>
                            <a:fillRect/>
                          </a:stretch>
                        </pic:blipFill>
                        <pic:spPr>
                          <a:xfrm>
                            <a:off x="0" y="0"/>
                            <a:ext cx="5276215" cy="5721350"/>
                          </a:xfrm>
                          <a:prstGeom prst="rect">
                            <a:avLst/>
                          </a:prstGeom>
                          <a:noFill/>
                          <a:ln>
                            <a:noFill/>
                          </a:ln>
                        </pic:spPr>
                      </pic:pic>
                    </a:graphicData>
                  </a:graphic>
                </wp:inline>
              </w:drawing>
            </w:r>
          </w:p>
          <w:p>
            <w:pPr>
              <w:pStyle w:val="22"/>
              <w:spacing w:line="240" w:lineRule="exact"/>
              <w:ind w:left="540" w:hanging="540" w:hangingChars="300"/>
              <w:rPr>
                <w:rFonts w:hint="default" w:ascii="HG丸ｺﾞｼｯｸM-PRO" w:hAnsi="HG丸ｺﾞｼｯｸM-PRO" w:eastAsia="HG丸ｺﾞｼｯｸM-PRO"/>
              </w:rPr>
            </w:pPr>
            <w:r>
              <w:rPr>
                <w:rFonts w:hint="eastAsia" w:ascii="HG丸ｺﾞｼｯｸM-PRO" w:hAnsi="HG丸ｺﾞｼｯｸM-PRO" w:eastAsia="HG丸ｺﾞｼｯｸM-PRO"/>
                <w:color w:val="auto"/>
                <w:sz w:val="18"/>
              </w:rPr>
              <w:t>出典：「東日本大震災により発生した被災</w:t>
            </w:r>
            <w:r>
              <w:rPr>
                <w:rFonts w:hint="default" w:ascii="HG丸ｺﾞｼｯｸM-PRO" w:hAnsi="HG丸ｺﾞｼｯｸM-PRO" w:eastAsia="HG丸ｺﾞｼｯｸM-PRO"/>
                <w:color w:val="auto"/>
                <w:sz w:val="18"/>
              </w:rPr>
              <w:t>3</w:t>
            </w:r>
            <w:r>
              <w:rPr>
                <w:rFonts w:hint="eastAsia" w:ascii="HG丸ｺﾞｼｯｸM-PRO" w:hAnsi="HG丸ｺﾞｼｯｸM-PRO" w:eastAsia="HG丸ｺﾞｼｯｸM-PRO"/>
                <w:color w:val="auto"/>
                <w:sz w:val="18"/>
              </w:rPr>
              <w:t>県（岩手県・宮城県・福島県）における災害廃棄物等の処理の記録」（平成</w:t>
            </w:r>
            <w:r>
              <w:rPr>
                <w:rFonts w:hint="default" w:ascii="HG丸ｺﾞｼｯｸM-PRO" w:hAnsi="HG丸ｺﾞｼｯｸM-PRO" w:eastAsia="HG丸ｺﾞｼｯｸM-PRO"/>
                <w:color w:val="auto"/>
                <w:sz w:val="18"/>
              </w:rPr>
              <w:t>26</w:t>
            </w:r>
            <w:r>
              <w:rPr>
                <w:rFonts w:hint="eastAsia" w:ascii="HG丸ｺﾞｼｯｸM-PRO" w:hAnsi="HG丸ｺﾞｼｯｸM-PRO" w:eastAsia="HG丸ｺﾞｼｯｸM-PRO"/>
                <w:color w:val="auto"/>
                <w:sz w:val="18"/>
              </w:rPr>
              <w:t>年</w:t>
            </w:r>
            <w:r>
              <w:rPr>
                <w:rFonts w:hint="default" w:ascii="HG丸ｺﾞｼｯｸM-PRO" w:hAnsi="HG丸ｺﾞｼｯｸM-PRO" w:eastAsia="HG丸ｺﾞｼｯｸM-PRO"/>
                <w:color w:val="auto"/>
                <w:sz w:val="18"/>
              </w:rPr>
              <w:t>9</w:t>
            </w:r>
            <w:r>
              <w:rPr>
                <w:rFonts w:hint="eastAsia" w:ascii="HG丸ｺﾞｼｯｸM-PRO" w:hAnsi="HG丸ｺﾞｼｯｸM-PRO" w:eastAsia="HG丸ｺﾞｼｯｸM-PRO"/>
                <w:color w:val="auto"/>
                <w:sz w:val="18"/>
              </w:rPr>
              <w:t>月、東北地方環境事務所）</w:t>
            </w:r>
          </w:p>
        </w:tc>
      </w:tr>
    </w:tbl>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図表６－１２　廃棄物（選別後）の種類毎の処理方法の考え方</w:t>
            </w:r>
          </w:p>
        </w:tc>
      </w:tr>
    </w:tbl>
    <w:p>
      <w:pPr>
        <w:pStyle w:val="0"/>
        <w:rPr>
          <w:rFonts w:hint="default" w:ascii="HG丸ｺﾞｼｯｸM-PRO" w:hAnsi="HG丸ｺﾞｼｯｸM-PRO" w:eastAsia="HG丸ｺﾞｼｯｸM-PRO"/>
        </w:rPr>
      </w:pPr>
    </w:p>
    <w:tbl>
      <w:tblPr>
        <w:tblStyle w:val="45"/>
        <w:tblW w:w="9736" w:type="dxa"/>
        <w:tblInd w:w="0" w:type="dxa"/>
        <w:tblBorders>
          <w:left w:val="none" w:color="auto" w:sz="0" w:space="0"/>
          <w:right w:val="none" w:color="auto" w:sz="0" w:space="0"/>
        </w:tblBorders>
        <w:tblLayout w:type="fixed"/>
        <w:tblLook w:firstRow="1" w:lastRow="0" w:firstColumn="1" w:lastColumn="0" w:noHBand="0" w:noVBand="1" w:val="04A0"/>
      </w:tblPr>
      <w:tblGrid>
        <w:gridCol w:w="1271"/>
        <w:gridCol w:w="8465"/>
      </w:tblGrid>
      <w:tr>
        <w:trPr>
          <w:tblHeader/>
        </w:trPr>
        <w:tc>
          <w:tcPr>
            <w:tcW w:w="1271"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種類</w:t>
            </w:r>
          </w:p>
        </w:tc>
        <w:tc>
          <w:tcPr>
            <w:tcW w:w="8465"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処理方法の考え方</w:t>
            </w:r>
          </w:p>
        </w:tc>
      </w:tr>
      <w:tr>
        <w:trPr/>
        <w:tc>
          <w:tcPr>
            <w:tcW w:w="127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木くず</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破砕処理や焼却処理をする。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家屋の柱や倒木は、リサイクル材としての価値が高いため、極力リサイクルに努める。</w:t>
            </w:r>
            <w:r>
              <w:rPr>
                <w:rFonts w:hint="default" w:ascii="HG丸ｺﾞｼｯｸM-PRO" w:hAnsi="HG丸ｺﾞｼｯｸM-PRO" w:eastAsia="HG丸ｺﾞｼｯｸM-PRO"/>
              </w:rPr>
              <w:t xml:space="preserve"> </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合板くずや小片木くずは、サーマル原料等により極力リサイクルに努める。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木くずを破砕すると、発酵して品質が劣化するため、長期間保存ができない。破砕しない（嵩張る）状態で保管するためのストックヤードの確保が必要である。</w:t>
            </w:r>
            <w:r>
              <w:rPr>
                <w:rFonts w:hint="default" w:ascii="HG丸ｺﾞｼｯｸM-PRO" w:hAnsi="HG丸ｺﾞｼｯｸM-PRO" w:eastAsia="HG丸ｺﾞｼｯｸM-PRO"/>
              </w:rPr>
              <w:t xml:space="preserve"> </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再生利用先の受入条件の調整が必要である。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木くずは、水に濡れると腐敗による悪臭が発生し、リサイクルが困難となる場合があるため、保管の方法や期間には注意が必要である。</w:t>
            </w:r>
            <w:r>
              <w:rPr>
                <w:rFonts w:hint="default" w:ascii="HG丸ｺﾞｼｯｸM-PRO" w:hAnsi="HG丸ｺﾞｼｯｸM-PRO" w:eastAsia="HG丸ｺﾞｼｯｸM-PRO"/>
              </w:rPr>
              <w:t xml:space="preserve"> </w:t>
            </w:r>
          </w:p>
        </w:tc>
      </w:tr>
      <w:tr>
        <w:trPr/>
        <w:tc>
          <w:tcPr>
            <w:tcW w:w="1271"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コンクリートがら等</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破砕処理を行う。</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極力土木資材としてのリサイクルに努める。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がらは路盤材等としてリサイクルできるが、路盤材の需要を上回る量のコンクリートがらを処理すると、路盤材としてすぐに利用できない。路盤材としてすぐに利用できない場合は、コンクリートがらを仮置場で保管する。</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ガラス・陶磁器くず：極力土木資材としてのリサイクルに努める。リサイクルできないものは埋立処分する。</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スレート板：石綿が含有されているおそれがあるため、シート掛け等して石綿が飛散しないように保管する。リサイクルできないものは埋立処分する。</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土砂混じりがれき：ふるい選別等により土木資材、セメント原料としてのリサイクルに努める。</w:t>
            </w:r>
            <w:r>
              <w:rPr>
                <w:rFonts w:hint="default" w:ascii="HG丸ｺﾞｼｯｸM-PRO" w:hAnsi="HG丸ｺﾞｼｯｸM-PRO" w:eastAsia="HG丸ｺﾞｼｯｸM-PRO"/>
              </w:rPr>
              <w:t xml:space="preserve"> </w:t>
            </w:r>
          </w:p>
        </w:tc>
      </w:tr>
      <w:tr>
        <w:trPr/>
        <w:tc>
          <w:tcPr>
            <w:tcW w:w="127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金属くず</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有価での売却を基本とするが、選別が困難である等によりリサイクルできないものは埋立処分する。</w:t>
            </w:r>
            <w:r>
              <w:rPr>
                <w:rFonts w:hint="default" w:ascii="HG丸ｺﾞｼｯｸM-PRO" w:hAnsi="HG丸ｺﾞｼｯｸM-PRO" w:eastAsia="HG丸ｺﾞｼｯｸM-PRO"/>
              </w:rPr>
              <w:t xml:space="preserve"> </w:t>
            </w:r>
          </w:p>
        </w:tc>
      </w:tr>
      <w:tr>
        <w:trPr/>
        <w:tc>
          <w:tcPr>
            <w:tcW w:w="1271"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可燃物</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布団・カーペット類：切断後、焼却処理を行う。水分を含んだ布団は、破砕が難しく燃えにくいため、乾燥等を行う必要がある。</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プラスチック類：極力セメント原燃料等にリサイクルし、リサイクルできないものは焼却処理する。</w:t>
            </w:r>
          </w:p>
        </w:tc>
      </w:tr>
      <w:tr>
        <w:trPr/>
        <w:tc>
          <w:tcPr>
            <w:tcW w:w="1271"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不燃物</w:t>
            </w:r>
            <w:r>
              <w:rPr>
                <w:rFonts w:hint="default" w:ascii="HG丸ｺﾞｼｯｸM-PRO" w:hAnsi="HG丸ｺﾞｼｯｸM-PRO" w:eastAsia="HG丸ｺﾞｼｯｸM-PRO"/>
              </w:rPr>
              <w:t xml:space="preserve"> </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破砕選別、磁力選別、手選別等により選別の精度を向上し、極力リサイクルに努め、残さは埋立処分する。</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瓦：屋根瓦は、高い透水性があり、砂利等へリサイクルできる。処分費用及び環境負荷を低減できることから、極力リサイクルに努める。リサイクルできないものは埋立処分する。</w:t>
            </w:r>
          </w:p>
        </w:tc>
      </w:tr>
      <w:tr>
        <w:trPr/>
        <w:tc>
          <w:tcPr>
            <w:tcW w:w="1271"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腐敗性廃棄物</w:t>
            </w:r>
            <w:r>
              <w:rPr>
                <w:rFonts w:hint="default" w:ascii="HG丸ｺﾞｼｯｸM-PRO" w:hAnsi="HG丸ｺﾞｼｯｸM-PRO" w:eastAsia="HG丸ｺﾞｼｯｸM-PRO"/>
              </w:rPr>
              <w:t xml:space="preserve"> </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水害で発生する腐敗性廃棄物は、汚水を含み重量が増加する。水に濡れると腐敗による悪臭が発生するため、優先的に処理を行う。</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畳：仮置場から優先的に搬出後に切断等を行い、セメント原燃料等にリサイクルする。リサイクルできないものは焼却処理する。水に浸かった畳は、発酵し火災が発生するおそれがあるため、仮置場内での保管に注意し、優先的に搬出する。</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食品：食品･飼肥料工場等から発生する原料及び製品等は、所有者が優先的に焼却等の処理を行う。</w:t>
            </w:r>
          </w:p>
        </w:tc>
      </w:tr>
      <w:tr>
        <w:trPr/>
        <w:tc>
          <w:tcPr>
            <w:tcW w:w="127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堆積土砂</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堆積土砂：ふるい選別等により土木資材、セメント原料としてのリサイクルに努める。</w:t>
            </w:r>
          </w:p>
        </w:tc>
      </w:tr>
      <w:tr>
        <w:trPr/>
        <w:tc>
          <w:tcPr>
            <w:tcW w:w="127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廃家電製品</w:t>
            </w:r>
            <w:r>
              <w:rPr>
                <w:rFonts w:hint="default" w:ascii="HG丸ｺﾞｼｯｸM-PRO" w:hAnsi="HG丸ｺﾞｼｯｸM-PRO" w:eastAsia="HG丸ｺﾞｼｯｸM-PRO"/>
              </w:rPr>
              <w:t xml:space="preserve"> </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エアコン、テレビ、冷蔵庫・冷凍庫、洗濯機・衣類乾燥機の</w:t>
            </w:r>
            <w:r>
              <w:rPr>
                <w:rFonts w:hint="default" w:ascii="HG丸ｺﾞｼｯｸM-PRO" w:hAnsi="HG丸ｺﾞｼｯｸM-PRO" w:eastAsia="HG丸ｺﾞｼｯｸM-PRO"/>
              </w:rPr>
              <w:t>4</w:t>
            </w:r>
            <w:r>
              <w:rPr>
                <w:rFonts w:hint="eastAsia" w:ascii="HG丸ｺﾞｼｯｸM-PRO" w:hAnsi="HG丸ｺﾞｼｯｸM-PRO" w:eastAsia="HG丸ｺﾞｼｯｸM-PRO"/>
              </w:rPr>
              <w:t>品目は、家電リサイクル法に従い、引き取り業者へ引き渡すことを原則とする。</w:t>
            </w:r>
            <w:r>
              <w:rPr>
                <w:rFonts w:hint="default" w:ascii="HG丸ｺﾞｼｯｸM-PRO" w:hAnsi="HG丸ｺﾞｼｯｸM-PRO" w:eastAsia="HG丸ｺﾞｼｯｸM-PRO"/>
              </w:rPr>
              <w:t>4</w:t>
            </w:r>
            <w:r>
              <w:rPr>
                <w:rFonts w:hint="eastAsia" w:ascii="HG丸ｺﾞｼｯｸM-PRO" w:hAnsi="HG丸ｺﾞｼｯｸM-PRO" w:eastAsia="HG丸ｺﾞｼｯｸM-PRO"/>
              </w:rPr>
              <w:t>品目以外の電気製品については、破砕して金属等のリサイクルに努める。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水害で発生する泥が付着した廃家電製品は、リサイクルが困難となる場合があるので、洗浄等することでリサイクルに努める。</w:t>
            </w:r>
            <w:r>
              <w:rPr>
                <w:rFonts w:hint="default" w:ascii="HG丸ｺﾞｼｯｸM-PRO" w:hAnsi="HG丸ｺﾞｼｯｸM-PRO" w:eastAsia="HG丸ｺﾞｼｯｸM-PRO"/>
              </w:rPr>
              <w:t xml:space="preserve"> </w:t>
            </w:r>
          </w:p>
        </w:tc>
      </w:tr>
      <w:tr>
        <w:trPr/>
        <w:tc>
          <w:tcPr>
            <w:tcW w:w="127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廃自動車等</w:t>
            </w:r>
            <w:r>
              <w:rPr>
                <w:rFonts w:hint="default" w:ascii="HG丸ｺﾞｼｯｸM-PRO" w:hAnsi="HG丸ｺﾞｼｯｸM-PRO" w:eastAsia="HG丸ｺﾞｼｯｸM-PRO"/>
              </w:rPr>
              <w:t xml:space="preserve"> </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自動車は自動車リサイクル法に従い、所有者が引き取り業者へ引き渡すことを原則とする。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水害により車内に土砂が堆積した場合は、土砂を取り除いてから搬出するように努める。</w:t>
            </w:r>
            <w:r>
              <w:rPr>
                <w:rFonts w:hint="default" w:ascii="HG丸ｺﾞｼｯｸM-PRO" w:hAnsi="HG丸ｺﾞｼｯｸM-PRO" w:eastAsia="HG丸ｺﾞｼｯｸM-PRO"/>
              </w:rPr>
              <w:t xml:space="preserve"> </w:t>
            </w:r>
          </w:p>
        </w:tc>
      </w:tr>
      <w:tr>
        <w:trPr/>
        <w:tc>
          <w:tcPr>
            <w:tcW w:w="1271"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廃船舶</w:t>
            </w:r>
            <w:r>
              <w:rPr>
                <w:rFonts w:hint="default" w:ascii="HG丸ｺﾞｼｯｸM-PRO" w:hAnsi="HG丸ｺﾞｼｯｸM-PRO" w:eastAsia="HG丸ｺﾞｼｯｸM-PRO"/>
              </w:rPr>
              <w:t xml:space="preserve"> </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有害廃棄物</w:t>
            </w:r>
            <w:r>
              <w:rPr>
                <w:rFonts w:hint="default" w:ascii="HG丸ｺﾞｼｯｸM-PRO" w:hAnsi="HG丸ｺﾞｼｯｸM-PRO" w:eastAsia="HG丸ｺﾞｼｯｸM-PRO"/>
              </w:rPr>
              <w:t xml:space="preserve"> </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所有者が専門の事業者に依頼し、極力リサイクルに努める。</w:t>
            </w:r>
            <w:r>
              <w:rPr>
                <w:rFonts w:hint="default" w:ascii="HG丸ｺﾞｼｯｸM-PRO" w:hAnsi="HG丸ｺﾞｼｯｸM-PRO" w:eastAsia="HG丸ｺﾞｼｯｸM-PRO"/>
              </w:rPr>
              <w:t xml:space="preserve"> </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農薬・化学薬品、石綿含有廃棄物、感染性廃棄物等は分別して保管し、専門の事業者で処理を行う。</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default" w:ascii="HG丸ｺﾞｼｯｸM-PRO" w:hAnsi="HG丸ｺﾞｼｯｸM-PRO" w:eastAsia="HG丸ｺﾞｼｯｸM-PRO"/>
              </w:rPr>
              <w:t>PCB</w:t>
            </w:r>
            <w:r>
              <w:rPr>
                <w:rFonts w:hint="eastAsia" w:ascii="HG丸ｺﾞｼｯｸM-PRO" w:hAnsi="HG丸ｺﾞｼｯｸM-PRO" w:eastAsia="HG丸ｺﾞｼｯｸM-PRO"/>
              </w:rPr>
              <w:t>廃棄物は、</w:t>
            </w:r>
            <w:r>
              <w:rPr>
                <w:rFonts w:hint="default" w:ascii="HG丸ｺﾞｼｯｸM-PRO" w:hAnsi="HG丸ｺﾞｼｯｸM-PRO" w:eastAsia="HG丸ｺﾞｼｯｸM-PRO"/>
              </w:rPr>
              <w:t>PCB</w:t>
            </w:r>
            <w:r>
              <w:rPr>
                <w:rFonts w:hint="eastAsia" w:ascii="HG丸ｺﾞｼｯｸM-PRO" w:hAnsi="HG丸ｺﾞｼｯｸM-PRO" w:eastAsia="HG丸ｺﾞｼｯｸM-PRO"/>
              </w:rPr>
              <w:t>特別措置法に従い、保管事業者が適正に処理を行う。</w:t>
            </w:r>
            <w:r>
              <w:rPr>
                <w:rFonts w:hint="default" w:ascii="HG丸ｺﾞｼｯｸM-PRO" w:hAnsi="HG丸ｺﾞｼｯｸM-PRO" w:eastAsia="HG丸ｺﾞｼｯｸM-PRO"/>
              </w:rPr>
              <w:t xml:space="preserve"> </w:t>
            </w:r>
          </w:p>
        </w:tc>
      </w:tr>
      <w:tr>
        <w:trPr/>
        <w:tc>
          <w:tcPr>
            <w:tcW w:w="1271"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その他処理が困難な廃棄物等</w:t>
            </w:r>
            <w:r>
              <w:rPr>
                <w:rFonts w:hint="default" w:ascii="HG丸ｺﾞｼｯｸM-PRO" w:hAnsi="HG丸ｺﾞｼｯｸM-PRO" w:eastAsia="HG丸ｺﾞｼｯｸM-PRO"/>
              </w:rPr>
              <w:t xml:space="preserve"> </w:t>
            </w: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危険物：消火器、ガスボンベ類、油類は、分別して保管し、専門の事業者で処理を行う。</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マットレス・ソファ類：切断後、金属の回収、焼却処理を行う。</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石膏ボード：汚れがないこと、板状であること（製造番号等が識別できること）が受入要件であり、仮置場において雨等で濡れないよう保管して、石膏ボード原料とする。汚れ・水濡れ等のものは埋立処分する。</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太陽光発電設備（家庭用）：感電に注意して取扱う。金属等のリサイクルに努める。</w:t>
            </w:r>
            <w:r>
              <w:rPr>
                <w:rFonts w:hint="default" w:ascii="HG丸ｺﾞｼｯｸM-PRO" w:hAnsi="HG丸ｺﾞｼｯｸM-PRO" w:eastAsia="HG丸ｺﾞｼｯｸM-PRO"/>
              </w:rPr>
              <w:t xml:space="preserve"> </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漁網：漁網には錘に鉛等が含まれていることから、分別して破砕・焼却処理や埋立処分を行う。</w:t>
            </w:r>
          </w:p>
        </w:tc>
      </w:tr>
      <w:tr>
        <w:trPr/>
        <w:tc>
          <w:tcPr>
            <w:tcW w:w="1271" w:type="dxa"/>
            <w:vMerge w:val="continue"/>
            <w:vAlign w:val="top"/>
          </w:tcPr>
          <w:p>
            <w:pPr>
              <w:pStyle w:val="0"/>
              <w:spacing w:line="300" w:lineRule="exact"/>
              <w:rPr>
                <w:rFonts w:hint="default" w:ascii="HG丸ｺﾞｼｯｸM-PRO" w:hAnsi="HG丸ｺﾞｼｯｸM-PRO" w:eastAsia="HG丸ｺﾞｼｯｸM-PRO"/>
              </w:rPr>
            </w:pPr>
          </w:p>
        </w:tc>
        <w:tc>
          <w:tcPr>
            <w:tcW w:w="8465"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混合廃棄物：可燃物、不燃物、細かいコンクリート片、土砂、金属等を含むため、できるだけ選別処理することでリサイクルに努める。</w:t>
            </w:r>
            <w:r>
              <w:rPr>
                <w:rFonts w:hint="default" w:ascii="HG丸ｺﾞｼｯｸM-PRO" w:hAnsi="HG丸ｺﾞｼｯｸM-PRO" w:eastAsia="HG丸ｺﾞｼｯｸM-PRO"/>
              </w:rPr>
              <w:t xml:space="preserve"> </w:t>
            </w:r>
          </w:p>
        </w:tc>
      </w:tr>
    </w:tbl>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【既存処理施設における災害廃棄物の処理可能量の推計】</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既存処理施設（公共）の災害廃棄物の処理可能量は、図表６－１３に示すとおりである。なお、災害廃棄物の処理可能量の推計方法については巻末資料を参照のこと。</w:t>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図表６－１３　既存処理施設の災害廃棄物の処理可能量</w:t>
            </w:r>
          </w:p>
        </w:tc>
      </w:tr>
    </w:tbl>
    <w:p>
      <w:pPr>
        <w:pStyle w:val="0"/>
        <w:rPr>
          <w:rFonts w:hint="default" w:ascii="HG丸ｺﾞｼｯｸM-PRO" w:hAnsi="HG丸ｺﾞｼｯｸM-PRO" w:eastAsia="HG丸ｺﾞｼｯｸM-PRO"/>
        </w:rPr>
      </w:pPr>
    </w:p>
    <w:tbl>
      <w:tblPr>
        <w:tblStyle w:val="45"/>
        <w:tblW w:w="9736" w:type="dxa"/>
        <w:tblInd w:w="0" w:type="dxa"/>
        <w:tblBorders>
          <w:left w:val="none" w:color="auto" w:sz="0" w:space="0"/>
          <w:right w:val="none" w:color="auto" w:sz="0" w:space="0"/>
        </w:tblBorders>
        <w:tblLayout w:type="fixed"/>
        <w:tblLook w:firstRow="1" w:lastRow="0" w:firstColumn="1" w:lastColumn="0" w:noHBand="0" w:noVBand="1" w:val="04A0"/>
      </w:tblPr>
      <w:tblGrid>
        <w:gridCol w:w="1980"/>
        <w:gridCol w:w="5103"/>
        <w:gridCol w:w="2653"/>
      </w:tblGrid>
      <w:tr>
        <w:trPr/>
        <w:tc>
          <w:tcPr>
            <w:tcW w:w="1980"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区分</w:t>
            </w:r>
          </w:p>
        </w:tc>
        <w:tc>
          <w:tcPr>
            <w:tcW w:w="5103"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施設名称</w:t>
            </w:r>
          </w:p>
        </w:tc>
        <w:tc>
          <w:tcPr>
            <w:tcW w:w="2653"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処理可能量又は残余容量</w:t>
            </w:r>
          </w:p>
        </w:tc>
      </w:tr>
      <w:tr>
        <w:trPr/>
        <w:tc>
          <w:tcPr>
            <w:tcW w:w="1980"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焼却施設</w:t>
            </w:r>
          </w:p>
        </w:tc>
        <w:tc>
          <w:tcPr>
            <w:tcW w:w="510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東金市外三市町環境クリーンセンター</w:t>
            </w:r>
          </w:p>
        </w:tc>
        <w:tc>
          <w:tcPr>
            <w:tcW w:w="2653" w:type="dxa"/>
            <w:vAlign w:val="top"/>
          </w:tcPr>
          <w:p>
            <w:pPr>
              <w:pStyle w:val="0"/>
              <w:ind w:firstLine="525" w:firstLineChars="25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４</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３８１トン／年</w:t>
            </w:r>
          </w:p>
        </w:tc>
      </w:tr>
      <w:tr>
        <w:trPr/>
        <w:tc>
          <w:tcPr>
            <w:tcW w:w="1980"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粗大ごみ処理施設</w:t>
            </w:r>
          </w:p>
        </w:tc>
        <w:tc>
          <w:tcPr>
            <w:tcW w:w="510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東金市外三市町環境クリーンセンター</w:t>
            </w:r>
          </w:p>
        </w:tc>
        <w:tc>
          <w:tcPr>
            <w:tcW w:w="2653" w:type="dxa"/>
            <w:vAlign w:val="top"/>
          </w:tcPr>
          <w:p>
            <w:pPr>
              <w:pStyle w:val="0"/>
              <w:ind w:firstLine="735" w:firstLineChars="35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１７１トン／年</w:t>
            </w:r>
          </w:p>
        </w:tc>
      </w:tr>
      <w:tr>
        <w:trPr/>
        <w:tc>
          <w:tcPr>
            <w:tcW w:w="1980"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最終処分場</w:t>
            </w:r>
          </w:p>
        </w:tc>
        <w:tc>
          <w:tcPr>
            <w:tcW w:w="510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グリーンオアシス大網</w:t>
            </w:r>
          </w:p>
        </w:tc>
        <w:tc>
          <w:tcPr>
            <w:tcW w:w="2653" w:type="dxa"/>
            <w:vAlign w:val="top"/>
          </w:tcPr>
          <w:p>
            <w:pPr>
              <w:pStyle w:val="0"/>
              <w:ind w:firstLine="840" w:firstLineChars="40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５５</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３６２</w:t>
            </w:r>
            <w:r>
              <w:rPr>
                <w:rFonts w:hint="eastAsia" w:ascii="HG丸ｺﾞｼｯｸM-PRO" w:hAnsi="HG丸ｺﾞｼｯｸM-PRO" w:eastAsia="HG丸ｺﾞｼｯｸM-PRO"/>
              </w:rPr>
              <w:t>m</w:t>
            </w:r>
            <w:r>
              <w:rPr>
                <w:rFonts w:hint="default" w:ascii="HG丸ｺﾞｼｯｸM-PRO" w:hAnsi="HG丸ｺﾞｼｯｸM-PRO" w:eastAsia="HG丸ｺﾞｼｯｸM-PRO"/>
                <w:vertAlign w:val="superscript"/>
              </w:rPr>
              <w:t>3</w:t>
            </w: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sz w:val="18"/>
        </w:rPr>
        <w:t>※焼却施設及び粗大ごみ処理施設は処理可能量を、最終処分場は残余容量を示す。また、処理可能量及び残余容量は一部事務組合の処理施設での数量を示す。</w:t>
      </w:r>
    </w:p>
    <w:p>
      <w:pPr>
        <w:pStyle w:val="0"/>
        <w:rPr>
          <w:rFonts w:hint="default" w:ascii="HG丸ｺﾞｼｯｸM-PRO" w:hAnsi="HG丸ｺﾞｼｯｸM-PRO" w:eastAsia="HG丸ｺﾞｼｯｸM-PRO"/>
        </w:rPr>
      </w:pPr>
      <w:r>
        <w:rPr>
          <w:rFonts w:hint="eastAsia"/>
        </w:rPr>
        <w:br w:type="page"/>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【処理フローの検討】</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上記で検討した処理方法に基づき、処理フローを作成する。</w:t>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図表６－１４　災害廃棄物の処理フロー</w:t>
            </w:r>
          </w:p>
        </w:tc>
      </w:tr>
    </w:tbl>
    <w:p>
      <w:pPr>
        <w:pStyle w:val="0"/>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rPr>
      </w:pPr>
      <w:r>
        <w:rPr>
          <w:rFonts w:hint="eastAsia"/>
        </w:rPr>
        <w:drawing>
          <wp:inline distT="0" distB="0" distL="203200" distR="203200">
            <wp:extent cx="6188710" cy="5236210"/>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7"/>
                    <a:stretch>
                      <a:fillRect/>
                    </a:stretch>
                  </pic:blipFill>
                  <pic:spPr>
                    <a:xfrm>
                      <a:off x="0" y="0"/>
                      <a:ext cx="6188710" cy="5236210"/>
                    </a:xfrm>
                    <a:prstGeom prst="rect">
                      <a:avLst/>
                    </a:prstGeom>
                  </pic:spPr>
                </pic:pic>
              </a:graphicData>
            </a:graphic>
          </wp:inline>
        </w:drawing>
      </w:r>
    </w:p>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第６節　適正処理が困難な廃棄物等への対応</w:t>
            </w: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生活環境の保全及び作業環境安全の観点から、適正処理が困難な廃棄物は他の災害廃棄物と分けて収集し、専門機関、専門処理業者へ委託して適正に処理する。また、発災後に環境省から発出される事務連絡等を参考にして適切に対応する。</w:t>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図表６－１５（１）　適正処理が困難な廃棄物の処理方法の例</w:t>
            </w:r>
          </w:p>
        </w:tc>
      </w:tr>
    </w:tbl>
    <w:p>
      <w:pPr>
        <w:pStyle w:val="0"/>
        <w:rPr>
          <w:rFonts w:hint="default" w:ascii="HG丸ｺﾞｼｯｸM-PRO" w:hAnsi="HG丸ｺﾞｼｯｸM-PRO" w:eastAsia="HG丸ｺﾞｼｯｸM-PRO"/>
        </w:rPr>
      </w:pPr>
    </w:p>
    <w:tbl>
      <w:tblPr>
        <w:tblStyle w:val="45"/>
        <w:tblW w:w="9736" w:type="dxa"/>
        <w:tblInd w:w="0" w:type="dxa"/>
        <w:tblBorders>
          <w:left w:val="none" w:color="auto" w:sz="0" w:space="0"/>
          <w:right w:val="none" w:color="auto" w:sz="0" w:space="0"/>
        </w:tblBorders>
        <w:tblLayout w:type="fixed"/>
        <w:tblLook w:firstRow="1" w:lastRow="0" w:firstColumn="1" w:lastColumn="0" w:noHBand="0" w:noVBand="1" w:val="04A0"/>
      </w:tblPr>
      <w:tblGrid>
        <w:gridCol w:w="1276"/>
        <w:gridCol w:w="8460"/>
      </w:tblGrid>
      <w:tr>
        <w:trPr/>
        <w:tc>
          <w:tcPr>
            <w:tcW w:w="1276"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8460"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想定される処理ルート・留意点等</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ＰＣＢ</w:t>
            </w:r>
          </w:p>
        </w:tc>
        <w:tc>
          <w:tcPr>
            <w:tcW w:w="8460" w:type="dxa"/>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高濃度</w:t>
            </w:r>
            <w:r>
              <w:rPr>
                <w:rFonts w:hint="eastAsia" w:ascii="HG丸ｺﾞｼｯｸM-PRO" w:hAnsi="HG丸ｺﾞｼｯｸM-PRO" w:eastAsia="HG丸ｺﾞｼｯｸM-PRO"/>
              </w:rPr>
              <w:t>PCB</w:t>
            </w:r>
            <w:r>
              <w:rPr>
                <w:rFonts w:hint="eastAsia" w:ascii="HG丸ｺﾞｼｯｸM-PRO" w:hAnsi="HG丸ｺﾞｼｯｸM-PRO" w:eastAsia="HG丸ｺﾞｼｯｸM-PRO"/>
              </w:rPr>
              <w:t>廃棄物は、中間貯蔵・環境安全事業</w:t>
            </w:r>
            <w:r>
              <w:rPr>
                <w:rFonts w:hint="eastAsia" w:ascii="HG丸ｺﾞｼｯｸM-PRO" w:hAnsi="HG丸ｺﾞｼｯｸM-PRO" w:eastAsia="HG丸ｺﾞｼｯｸM-PRO"/>
              </w:rPr>
              <w:t>(</w:t>
            </w:r>
            <w:r>
              <w:rPr>
                <w:rFonts w:hint="eastAsia" w:ascii="HG丸ｺﾞｼｯｸM-PRO" w:hAnsi="HG丸ｺﾞｼｯｸM-PRO" w:eastAsia="HG丸ｺﾞｼｯｸM-PRO"/>
              </w:rPr>
              <w:t>株</w:t>
            </w:r>
            <w:r>
              <w:rPr>
                <w:rFonts w:hint="eastAsia" w:ascii="HG丸ｺﾞｼｯｸM-PRO" w:hAnsi="HG丸ｺﾞｼｯｸM-PRO" w:eastAsia="HG丸ｺﾞｼｯｸM-PRO"/>
              </w:rPr>
              <w:t>)</w:t>
            </w:r>
            <w:r>
              <w:rPr>
                <w:rFonts w:hint="eastAsia" w:ascii="HG丸ｺﾞｼｯｸM-PRO" w:hAnsi="HG丸ｺﾞｼｯｸM-PRO" w:eastAsia="HG丸ｺﾞｼｯｸM-PRO"/>
              </w:rPr>
              <w:t>（</w:t>
            </w:r>
            <w:r>
              <w:rPr>
                <w:rFonts w:hint="eastAsia" w:ascii="HG丸ｺﾞｼｯｸM-PRO" w:hAnsi="HG丸ｺﾞｼｯｸM-PRO" w:eastAsia="HG丸ｺﾞｼｯｸM-PRO"/>
              </w:rPr>
              <w:t>JESCO</w:t>
            </w:r>
            <w:r>
              <w:rPr>
                <w:rFonts w:hint="eastAsia" w:ascii="HG丸ｺﾞｼｯｸM-PRO" w:hAnsi="HG丸ｺﾞｼｯｸM-PRO" w:eastAsia="HG丸ｺﾞｼｯｸM-PRO"/>
              </w:rPr>
              <w:t>）へ搬送・処理を行う。</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低濃度</w:t>
            </w:r>
            <w:r>
              <w:rPr>
                <w:rFonts w:hint="eastAsia" w:ascii="HG丸ｺﾞｼｯｸM-PRO" w:hAnsi="HG丸ｺﾞｼｯｸM-PRO" w:eastAsia="HG丸ｺﾞｼｯｸM-PRO"/>
              </w:rPr>
              <w:t>PCB</w:t>
            </w:r>
            <w:r>
              <w:rPr>
                <w:rFonts w:hint="eastAsia" w:ascii="HG丸ｺﾞｼｯｸM-PRO" w:hAnsi="HG丸ｺﾞｼｯｸM-PRO" w:eastAsia="HG丸ｺﾞｼｯｸM-PRO"/>
              </w:rPr>
              <w:t>廃棄物（低濃度</w:t>
            </w:r>
            <w:r>
              <w:rPr>
                <w:rFonts w:hint="eastAsia" w:ascii="HG丸ｺﾞｼｯｸM-PRO" w:hAnsi="HG丸ｺﾞｼｯｸM-PRO" w:eastAsia="HG丸ｺﾞｼｯｸM-PRO"/>
              </w:rPr>
              <w:t>PCB</w:t>
            </w:r>
            <w:r>
              <w:rPr>
                <w:rFonts w:hint="eastAsia" w:ascii="HG丸ｺﾞｼｯｸM-PRO" w:hAnsi="HG丸ｺﾞｼｯｸM-PRO" w:eastAsia="HG丸ｺﾞｼｯｸM-PRO"/>
              </w:rPr>
              <w:t>含有廃棄物、微量</w:t>
            </w:r>
            <w:r>
              <w:rPr>
                <w:rFonts w:hint="eastAsia" w:ascii="HG丸ｺﾞｼｯｸM-PRO" w:hAnsi="HG丸ｺﾞｼｯｸM-PRO" w:eastAsia="HG丸ｺﾞｼｯｸM-PRO"/>
              </w:rPr>
              <w:t>PCB</w:t>
            </w:r>
            <w:r>
              <w:rPr>
                <w:rFonts w:hint="eastAsia" w:ascii="HG丸ｺﾞｼｯｸM-PRO" w:hAnsi="HG丸ｺﾞｼｯｸM-PRO" w:eastAsia="HG丸ｺﾞｼｯｸM-PRO"/>
              </w:rPr>
              <w:t>汚染廃電気機器等）は、廃棄物の種類に応じて、無害化処理認定事業者又は県知事が許可する産業廃棄物処理業者と契約して搬送・処理を行う。</w:t>
            </w:r>
          </w:p>
          <w:p>
            <w:pPr>
              <w:pStyle w:val="0"/>
              <w:ind w:left="630" w:leftChars="2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※詳細は「ポリ塩化ビフェニル（</w:t>
            </w:r>
            <w:r>
              <w:rPr>
                <w:rFonts w:hint="eastAsia" w:ascii="HG丸ｺﾞｼｯｸM-PRO" w:hAnsi="HG丸ｺﾞｼｯｸM-PRO" w:eastAsia="HG丸ｺﾞｼｯｸM-PRO"/>
              </w:rPr>
              <w:t>PCB</w:t>
            </w:r>
            <w:r>
              <w:rPr>
                <w:rFonts w:hint="eastAsia" w:ascii="HG丸ｺﾞｼｯｸM-PRO" w:hAnsi="HG丸ｺﾞｼｯｸM-PRO" w:eastAsia="HG丸ｺﾞｼｯｸM-PRO"/>
              </w:rPr>
              <w:t>）使用製品及び</w:t>
            </w:r>
            <w:r>
              <w:rPr>
                <w:rFonts w:hint="eastAsia" w:ascii="HG丸ｺﾞｼｯｸM-PRO" w:hAnsi="HG丸ｺﾞｼｯｸM-PRO" w:eastAsia="HG丸ｺﾞｼｯｸM-PRO"/>
              </w:rPr>
              <w:t>PCB</w:t>
            </w:r>
            <w:r>
              <w:rPr>
                <w:rFonts w:hint="eastAsia" w:ascii="HG丸ｺﾞｼｯｸM-PRO" w:hAnsi="HG丸ｺﾞｼｯｸM-PRO" w:eastAsia="HG丸ｺﾞｼｯｸM-PRO"/>
              </w:rPr>
              <w:t>廃棄物の期限内処理に向けて」（環境省・経済産業省」を参考とする）</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保管における留意点</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 xml:space="preserve">PCB </w:t>
            </w:r>
            <w:r>
              <w:rPr>
                <w:rFonts w:hint="eastAsia" w:ascii="HG丸ｺﾞｼｯｸM-PRO" w:hAnsi="HG丸ｺﾞｼｯｸM-PRO" w:eastAsia="HG丸ｺﾞｼｯｸM-PRO"/>
              </w:rPr>
              <w:t>含有の有無が確認できない場合を含め、回収後に他の廃棄物が混入しないよう区分する。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屋内保管、密閉容器内保管又はビニールシートで覆う等、飛散・流失・地下浸透しないような対策を施して保管する。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地震等で転倒しないように配慮する。</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石綿含有廃棄物等</w:t>
            </w:r>
          </w:p>
        </w:tc>
        <w:tc>
          <w:tcPr>
            <w:tcW w:w="8460" w:type="dxa"/>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回収した石綿含有廃棄物等は、プラスチックバッグやフレコンバッグで、二重梱包や固形化により飛散防止措置を行ったうえで、管理型最終処分場において埋立処分、あるいは溶融による無害化処理を行う。</w:t>
            </w:r>
          </w:p>
          <w:p>
            <w:pPr>
              <w:pStyle w:val="15"/>
              <w:spacing w:line="300" w:lineRule="exact"/>
              <w:ind w:left="317" w:left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取り扱いにおける留意点</w:t>
            </w:r>
          </w:p>
          <w:p>
            <w:pPr>
              <w:pStyle w:val="15"/>
              <w:numPr>
                <w:ilvl w:val="0"/>
                <w:numId w:val="4"/>
              </w:numPr>
              <w:spacing w:line="300" w:lineRule="exact"/>
              <w:ind w:left="317" w:leftChars="0" w:hanging="283"/>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rPr>
              <w:t>廃石綿等については、特別管理産業廃棄物処分業者に引き渡すに当たり、固形化、薬剤による安定化後、耐水材料による二重梱包を行う。</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石膏ボード</w:t>
            </w:r>
          </w:p>
        </w:tc>
        <w:tc>
          <w:tcPr>
            <w:tcW w:w="8460" w:type="dxa"/>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管理型最終処分場にて最終処分する。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中間処理により石膏粉と紙くずに分離し、石膏粉を再資源化、紙くずを焼却する。</w:t>
            </w:r>
          </w:p>
          <w:p>
            <w:pPr>
              <w:pStyle w:val="15"/>
              <w:spacing w:line="300" w:lineRule="exact"/>
              <w:ind w:left="317" w:left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留意点</w:t>
            </w:r>
          </w:p>
          <w:p>
            <w:pPr>
              <w:pStyle w:val="15"/>
              <w:numPr>
                <w:ilvl w:val="0"/>
                <w:numId w:val="4"/>
              </w:numPr>
              <w:spacing w:line="300" w:lineRule="exact"/>
              <w:ind w:left="317" w:leftChars="0" w:hanging="283"/>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rPr>
              <w:t>建築物に使用されている石膏ボードの中には、石綿、砒素、カドミウムといった有害物質が含まれる製品が一部存在するため、発覚した際は適切に処理・処分し、必要に応じて環境モニタリングを実施する。</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図表６－１５（２）　適正処理が困難な廃棄物の処理方法の例</w:t>
            </w:r>
          </w:p>
        </w:tc>
      </w:tr>
    </w:tbl>
    <w:p>
      <w:pPr>
        <w:pStyle w:val="0"/>
        <w:rPr>
          <w:rFonts w:hint="default" w:ascii="HG丸ｺﾞｼｯｸM-PRO" w:hAnsi="HG丸ｺﾞｼｯｸM-PRO" w:eastAsia="HG丸ｺﾞｼｯｸM-PRO"/>
        </w:rPr>
      </w:pPr>
    </w:p>
    <w:tbl>
      <w:tblPr>
        <w:tblStyle w:val="45"/>
        <w:tblW w:w="9736" w:type="dxa"/>
        <w:tblInd w:w="0" w:type="dxa"/>
        <w:tblBorders>
          <w:left w:val="none" w:color="auto" w:sz="0" w:space="0"/>
          <w:right w:val="none" w:color="auto" w:sz="0" w:space="0"/>
        </w:tblBorders>
        <w:tblLayout w:type="fixed"/>
        <w:tblLook w:firstRow="1" w:lastRow="0" w:firstColumn="1" w:lastColumn="0" w:noHBand="0" w:noVBand="1" w:val="04A0"/>
      </w:tblPr>
      <w:tblGrid>
        <w:gridCol w:w="1276"/>
        <w:gridCol w:w="8363"/>
        <w:gridCol w:w="97"/>
      </w:tblGrid>
      <w:tr>
        <w:trPr/>
        <w:tc>
          <w:tcPr>
            <w:tcW w:w="1276"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8460" w:type="dxa"/>
            <w:gridSpan w:val="2"/>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想定される処理ルート・留意点等</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ガスボンベ</w:t>
            </w:r>
          </w:p>
        </w:tc>
        <w:tc>
          <w:tcPr>
            <w:tcW w:w="8460" w:type="dxa"/>
            <w:gridSpan w:val="2"/>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容器の記載から、ボンベの所有者が確認できる場合は、そのガス会社に連絡して引き取ってもらう。</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文字が消える等所有者が確認できない場合は、一般ガスであれば千葉県高圧ガス流通保安協会へ、ＬＰガスについては一般社団法人千葉県ＬＰガス協会へ連絡し回収方法を確認する。</w:t>
            </w:r>
          </w:p>
          <w:p>
            <w:pPr>
              <w:pStyle w:val="15"/>
              <w:spacing w:line="300" w:lineRule="exact"/>
              <w:ind w:left="317" w:left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留意点</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取扱いにおいて、ボンベの破裂に注意する。</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消火器</w:t>
            </w:r>
          </w:p>
        </w:tc>
        <w:tc>
          <w:tcPr>
            <w:tcW w:w="8460" w:type="dxa"/>
            <w:gridSpan w:val="2"/>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一般社団法人日本消火器工業会「消火器回収システム」加盟販売店における消火器取扱窓口に処理業者を聴取し、引渡すことでリサイクルを行う。</w:t>
            </w:r>
          </w:p>
          <w:p>
            <w:pPr>
              <w:pStyle w:val="15"/>
              <w:spacing w:line="300" w:lineRule="exact"/>
              <w:ind w:left="317" w:left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留意点</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問合せや特定窓口の照会に、</w:t>
            </w:r>
            <w:r>
              <w:rPr>
                <w:rFonts w:hint="eastAsia" w:ascii="HG丸ｺﾞｼｯｸM-PRO" w:hAnsi="HG丸ｺﾞｼｯｸM-PRO" w:eastAsia="HG丸ｺﾞｼｯｸM-PRO"/>
              </w:rPr>
              <w:t>(</w:t>
            </w:r>
            <w:r>
              <w:rPr>
                <w:rFonts w:hint="eastAsia" w:ascii="HG丸ｺﾞｼｯｸM-PRO" w:hAnsi="HG丸ｺﾞｼｯｸM-PRO" w:eastAsia="HG丸ｺﾞｼｯｸM-PRO"/>
              </w:rPr>
              <w:t>株</w:t>
            </w:r>
            <w:r>
              <w:rPr>
                <w:rFonts w:hint="eastAsia" w:ascii="HG丸ｺﾞｼｯｸM-PRO" w:hAnsi="HG丸ｺﾞｼｯｸM-PRO" w:eastAsia="HG丸ｺﾞｼｯｸM-PRO"/>
              </w:rPr>
              <w:t>)</w:t>
            </w:r>
            <w:r>
              <w:rPr>
                <w:rFonts w:hint="eastAsia" w:ascii="HG丸ｺﾞｼｯｸM-PRO" w:hAnsi="HG丸ｺﾞｼｯｸM-PRO" w:eastAsia="HG丸ｺﾞｼｯｸM-PRO"/>
              </w:rPr>
              <w:t>消火器リサイクル推進センターが対応してもらえるよう、平時より協議・調整しておく。</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被災後に発生する消火器のうち、一時的に泥中に埋まっていた消火器は使用時に内圧が詰まり破裂の危険性がある。</w:t>
            </w:r>
          </w:p>
          <w:p>
            <w:pPr>
              <w:pStyle w:val="15"/>
              <w:numPr>
                <w:ilvl w:val="0"/>
                <w:numId w:val="4"/>
              </w:numPr>
              <w:spacing w:line="300" w:lineRule="exact"/>
              <w:ind w:left="317" w:leftChars="0" w:hanging="283"/>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rPr>
              <w:t>エアゾール式消火具や外国製消火器は消火器回収システムの対象外となるため、スプレー缶等と同様に処理する。</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肥料</w:t>
            </w:r>
          </w:p>
        </w:tc>
        <w:tc>
          <w:tcPr>
            <w:tcW w:w="8460" w:type="dxa"/>
            <w:gridSpan w:val="2"/>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農家へ提供する。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セメント工場で焼却焼成する。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高含水堆積土砂の改質助材として活用する。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管理型最終処分場で埋立処分する。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コンクリート固化等の後、最終処分する。</w:t>
            </w:r>
          </w:p>
          <w:p>
            <w:pPr>
              <w:pStyle w:val="15"/>
              <w:spacing w:line="300" w:lineRule="exact"/>
              <w:ind w:left="317" w:left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保管における留意点</w:t>
            </w:r>
          </w:p>
          <w:p>
            <w:pPr>
              <w:pStyle w:val="15"/>
              <w:numPr>
                <w:ilvl w:val="0"/>
                <w:numId w:val="4"/>
              </w:numPr>
              <w:spacing w:line="300" w:lineRule="exact"/>
              <w:ind w:left="317" w:leftChars="0" w:hanging="283"/>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rPr>
              <w:t>性質上、窒素、リン、カリウムの含有が多く、溶出防止策として遮水性フレコンバッグ等に入れて保管等を行う。</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廃畳</w:t>
            </w:r>
          </w:p>
        </w:tc>
        <w:tc>
          <w:tcPr>
            <w:tcW w:w="8460" w:type="dxa"/>
            <w:gridSpan w:val="2"/>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民間リサイクル施設で再生プラスチック燃料（</w:t>
            </w:r>
            <w:r>
              <w:rPr>
                <w:rFonts w:hint="eastAsia" w:ascii="HG丸ｺﾞｼｯｸM-PRO" w:hAnsi="HG丸ｺﾞｼｯｸM-PRO" w:eastAsia="HG丸ｺﾞｼｯｸM-PRO"/>
              </w:rPr>
              <w:t>RPF</w:t>
            </w:r>
            <w:r>
              <w:rPr>
                <w:rFonts w:hint="eastAsia" w:ascii="HG丸ｺﾞｼｯｸM-PRO" w:hAnsi="HG丸ｺﾞｼｯｸM-PRO" w:eastAsia="HG丸ｺﾞｼｯｸM-PRO"/>
              </w:rPr>
              <w:t>）として再生する。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選別後に可燃物として処理する。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発電燃料へリサイクルする。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セメント原燃料とする。</w:t>
            </w:r>
          </w:p>
          <w:p>
            <w:pPr>
              <w:pStyle w:val="15"/>
              <w:spacing w:line="300" w:lineRule="exact"/>
              <w:ind w:left="317" w:left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保管における留意点</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重ねて積み上げることで、発火することがある。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破砕・選別や積み上げが困難であることから、仮置場を広く占有することがあるため、可能な限り十分なスペースを確保する。</w:t>
            </w:r>
          </w:p>
        </w:tc>
      </w:tr>
      <w:tr>
        <w:tblPrEx>
          <w:tblBorders>
            <w:top w:val="none" w:color="auto" w:sz="0" w:space="0"/>
            <w:bottom w:val="none" w:color="auto" w:sz="0" w:space="0"/>
            <w:insideH w:val="none" w:color="auto" w:sz="0" w:space="0"/>
            <w:insideV w:val="none" w:color="auto" w:sz="0" w:space="0"/>
          </w:tblBorders>
        </w:tblPrEx>
        <w:trPr>
          <w:gridAfter w:val="1"/>
          <w:wAfter w:w="97" w:type="dxa"/>
          <w:trHeight w:val="346" w:hRule="atLeast"/>
        </w:trPr>
        <w:tc>
          <w:tcPr>
            <w:tcW w:w="9639" w:type="dxa"/>
            <w:gridSpan w:val="2"/>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図表６－１５（３）　適正処理が困難な廃棄物の処理方法の例</w:t>
            </w:r>
          </w:p>
        </w:tc>
      </w:tr>
    </w:tbl>
    <w:p>
      <w:pPr>
        <w:pStyle w:val="0"/>
        <w:rPr>
          <w:rFonts w:hint="default" w:ascii="HG丸ｺﾞｼｯｸM-PRO" w:hAnsi="HG丸ｺﾞｼｯｸM-PRO" w:eastAsia="HG丸ｺﾞｼｯｸM-PRO"/>
        </w:rPr>
      </w:pPr>
    </w:p>
    <w:tbl>
      <w:tblPr>
        <w:tblStyle w:val="45"/>
        <w:tblW w:w="9736" w:type="dxa"/>
        <w:tblInd w:w="0" w:type="dxa"/>
        <w:tblBorders>
          <w:left w:val="none" w:color="auto" w:sz="0" w:space="0"/>
          <w:right w:val="none" w:color="auto" w:sz="0" w:space="0"/>
        </w:tblBorders>
        <w:tblLayout w:type="fixed"/>
        <w:tblLook w:firstRow="1" w:lastRow="0" w:firstColumn="1" w:lastColumn="0" w:noHBand="0" w:noVBand="1" w:val="04A0"/>
      </w:tblPr>
      <w:tblGrid>
        <w:gridCol w:w="1276"/>
        <w:gridCol w:w="8460"/>
      </w:tblGrid>
      <w:tr>
        <w:trPr/>
        <w:tc>
          <w:tcPr>
            <w:tcW w:w="1276"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8460"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想定される処理ルート・留意点等</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水産系廃棄物</w:t>
            </w:r>
          </w:p>
        </w:tc>
        <w:tc>
          <w:tcPr>
            <w:tcW w:w="8460" w:type="dxa"/>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埋立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埋設保管</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焼却</w:t>
            </w:r>
          </w:p>
          <w:p>
            <w:pPr>
              <w:pStyle w:val="15"/>
              <w:spacing w:line="300" w:lineRule="exact"/>
              <w:ind w:left="317" w:leftChars="0"/>
              <w:rPr>
                <w:rFonts w:hint="default" w:ascii="HG丸ｺﾞｼｯｸM-PRO" w:hAnsi="HG丸ｺﾞｼｯｸM-PRO" w:eastAsia="HG丸ｺﾞｼｯｸM-PRO"/>
              </w:rPr>
            </w:pPr>
          </w:p>
          <w:p>
            <w:pPr>
              <w:pStyle w:val="0"/>
              <w:spacing w:line="300" w:lineRule="exact"/>
              <w:ind w:left="34"/>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保管における留意点</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仮置場で腐敗することにより、ハエや蚊・ネズミが大量発生するため、災害時の廃棄物の山に殺虫剤・殺鼠剤や消石灰を散布する等の対策が必要である。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悪臭防止及び雨水による発酵を抑制するためにキャッピングシートを設置する場合がある。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埋設保管は、特に悪臭防止対策を重視し、プラスチック類等のこん包物を選別除去後、「腐敗した魚介類の悪臭防止対策について（公益社団法人におい・かおり環境協会）」等を参考に実施する。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水産系廃棄物から大量の汚水が発生し、浸出水処理施設の処理能力を大幅に超える場合もあるため、埋立処理に当たっては、浸出水処理設備の能力を勘案する必要がある。</w:t>
            </w:r>
          </w:p>
        </w:tc>
      </w:tr>
      <w:tr>
        <w:trPr/>
        <w:tc>
          <w:tcPr>
            <w:tcW w:w="127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感染性廃棄物</w:t>
            </w:r>
          </w:p>
        </w:tc>
        <w:tc>
          <w:tcPr>
            <w:tcW w:w="8460" w:type="dxa"/>
            <w:vAlign w:val="top"/>
          </w:tcPr>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処理ルート</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焼却</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溶融</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高圧蒸気滅菌又は乾熱滅菌</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肝炎ウイルスに有効な加熱又は薬剤による消毒</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他法令に規定する感染性病原体に有効な方法による消毒</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収集運搬における留意点</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「感染性廃棄物」等と記されている容器、又は、バイオハザードマークのついた容器は、容器をそのまま保管場所へ運搬する（容器を破損しないような方法で収集運搬する）。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注射針、点滴用の針、メス等の鋭利なものの取扱いについては、手等を傷つけないように注意し、堅牢な容器、耐久性のあるプラスチック袋、フレコンバッグ等の丈夫な運搬容器に入れて運搬する。</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u w:val="single" w:color="auto"/>
              </w:rPr>
              <w:t>保管における留意点</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保管場所には、感染性廃棄物の保管場所である旨表示する。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屋根のある建物内で保管するか、屋内の保管場所が確保できない場合には、防水性のビニールシートで全体を覆う（底面を含む）等、直射日光を避け、風雨にさらされず、感染性廃棄物が飛散、流出、地下浸透、腐食しないよう必要な対策を講じる。</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他の廃棄物等が混入するおそれがないよう、仕切りを設ける等の必要な措置を講じる。</w:t>
            </w:r>
          </w:p>
          <w:p>
            <w:pPr>
              <w:pStyle w:val="15"/>
              <w:numPr>
                <w:ilvl w:val="0"/>
                <w:numId w:val="4"/>
              </w:numPr>
              <w:spacing w:line="300" w:lineRule="exact"/>
              <w:ind w:left="317" w:leftChars="0" w:hanging="283"/>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rPr>
              <w:t>感染性廃棄物は、焼却等の滅菌できる方法で処理することとなっているため、当該感染性廃棄物の適正な処理が可能となるまで保管する。</w:t>
            </w:r>
          </w:p>
        </w:tc>
      </w:tr>
    </w:tbl>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第７節　損壊家屋等の撤去等</w:t>
            </w:r>
          </w:p>
        </w:tc>
      </w:tr>
    </w:tbl>
    <w:p>
      <w:pPr>
        <w:pStyle w:val="3"/>
        <w:numPr>
          <w:ilvl w:val="2"/>
          <w:numId w:val="12"/>
        </w:numPr>
        <w:rPr>
          <w:rFonts w:hint="default"/>
          <w:color w:val="000000"/>
          <w:kern w:val="0"/>
        </w:rPr>
      </w:pPr>
      <w:r>
        <w:rPr>
          <w:rFonts w:hint="eastAsia"/>
          <w:color w:val="000000"/>
          <w:kern w:val="0"/>
        </w:rPr>
        <w:t>災害時</w:t>
      </w:r>
    </w:p>
    <w:p>
      <w:pPr>
        <w:pStyle w:val="0"/>
        <w:rPr>
          <w:rFonts w:hint="default" w:ascii="HG丸ｺﾞｼｯｸM-PRO" w:hAnsi="HG丸ｺﾞｼｯｸM-PRO" w:eastAsia="HG丸ｺﾞｼｯｸM-PRO"/>
        </w:rPr>
      </w:pPr>
      <w:r>
        <w:rPr>
          <w:rFonts w:hint="eastAsia"/>
        </w:rPr>
        <w:t>　</w:t>
      </w:r>
      <w:r>
        <w:rPr>
          <w:rFonts w:hint="eastAsia" w:ascii="HG丸ｺﾞｼｯｸM-PRO" w:hAnsi="HG丸ｺﾞｼｯｸM-PRO" w:eastAsia="HG丸ｺﾞｼｯｸM-PRO"/>
        </w:rPr>
        <w:t>【通行の支障や倒壊の危険がある建物等の撤去】</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損壊家屋等は私有財産であるため、その撤去・処理・処分は原則として所有者が実施する。しかし、通行上の支障や現地調査による応急危険度判定の結果、倒壊の危険がある建物については、所有者の意思を確認した上で、適切な対応を行うものとする。なお、公共施設や大企業の建物の撤去についてはそれぞれの管理者の責任で実施する。</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【体制の構築】</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損壊家屋の撤去等には、設計・積算・現場管理等の知識が必要となることから、土木・建築職を含めた体制を構築する。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損壊家屋等の撤去等は、事業者に業務委託する。</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【申請方法の広報、申請窓口の設置】</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損壊家屋の撤去等に係る申請方法を被災者に広報し、可能であればり災証明の発行拠点に損壊家屋等の撤去等申請窓口を設置する。</w:t>
      </w:r>
    </w:p>
    <w:p>
      <w:pPr>
        <w:pStyle w:val="0"/>
        <w:ind w:firstLine="210" w:firstLineChars="100"/>
        <w:rPr>
          <w:rFonts w:hint="default" w:ascii="HG丸ｺﾞｼｯｸM-PRO" w:hAnsi="HG丸ｺﾞｼｯｸM-PRO" w:eastAsia="HG丸ｺﾞｼｯｸM-PRO"/>
          <w:color w:val="000000"/>
          <w:kern w:val="0"/>
        </w:rPr>
      </w:pPr>
    </w:p>
    <w:p>
      <w:pPr>
        <w:pStyle w:val="0"/>
        <w:ind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【損壊家屋等の解体】</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災害の状況に応じて示される国の方針に基づき、損壊家屋の撤去又は解体を行う。過去に阪神・淡路大震災や東日本大震災、平成</w:t>
      </w:r>
      <w:r>
        <w:rPr>
          <w:rFonts w:hint="eastAsia" w:ascii="HG丸ｺﾞｼｯｸM-PRO" w:hAnsi="HG丸ｺﾞｼｯｸM-PRO" w:eastAsia="HG丸ｺﾞｼｯｸM-PRO"/>
          <w:color w:val="000000"/>
          <w:kern w:val="0"/>
        </w:rPr>
        <w:t>28</w:t>
      </w:r>
      <w:r>
        <w:rPr>
          <w:rFonts w:hint="eastAsia" w:ascii="HG丸ｺﾞｼｯｸM-PRO" w:hAnsi="HG丸ｺﾞｼｯｸM-PRO" w:eastAsia="HG丸ｺﾞｼｯｸM-PRO"/>
          <w:color w:val="000000"/>
          <w:kern w:val="0"/>
        </w:rPr>
        <w:t>年熊本地震、平成</w:t>
      </w:r>
      <w:r>
        <w:rPr>
          <w:rFonts w:hint="eastAsia" w:ascii="HG丸ｺﾞｼｯｸM-PRO" w:hAnsi="HG丸ｺﾞｼｯｸM-PRO" w:eastAsia="HG丸ｺﾞｼｯｸM-PRO"/>
          <w:color w:val="000000"/>
          <w:kern w:val="0"/>
        </w:rPr>
        <w:t>30</w:t>
      </w:r>
      <w:r>
        <w:rPr>
          <w:rFonts w:hint="eastAsia" w:ascii="HG丸ｺﾞｼｯｸM-PRO" w:hAnsi="HG丸ｺﾞｼｯｸM-PRO" w:eastAsia="HG丸ｺﾞｼｯｸM-PRO"/>
          <w:color w:val="000000"/>
          <w:kern w:val="0"/>
        </w:rPr>
        <w:t>年７月豪</w:t>
      </w:r>
      <w:r>
        <w:rPr>
          <w:rFonts w:hint="eastAsia" w:ascii="HG丸ｺﾞｼｯｸM-PRO" w:hAnsi="HG丸ｺﾞｼｯｸM-PRO" w:eastAsia="HG丸ｺﾞｼｯｸM-PRO"/>
          <w:kern w:val="0"/>
        </w:rPr>
        <w:t>雨、</w:t>
      </w:r>
      <w:bookmarkStart w:id="1" w:name="_Hlk39242558"/>
      <w:r>
        <w:rPr>
          <w:rFonts w:hint="eastAsia" w:ascii="HG丸ｺﾞｼｯｸM-PRO" w:hAnsi="HG丸ｺﾞｼｯｸM-PRO" w:eastAsia="HG丸ｺﾞｼｯｸM-PRO"/>
          <w:kern w:val="0"/>
        </w:rPr>
        <w:t>令和元年台風第</w:t>
      </w:r>
      <w:r>
        <w:rPr>
          <w:rFonts w:hint="eastAsia" w:ascii="HG丸ｺﾞｼｯｸM-PRO" w:hAnsi="HG丸ｺﾞｼｯｸM-PRO" w:eastAsia="HG丸ｺﾞｼｯｸM-PRO"/>
          <w:kern w:val="0"/>
        </w:rPr>
        <w:t>1</w:t>
      </w:r>
      <w:r>
        <w:rPr>
          <w:rFonts w:hint="default" w:ascii="HG丸ｺﾞｼｯｸM-PRO" w:hAnsi="HG丸ｺﾞｼｯｸM-PRO" w:eastAsia="HG丸ｺﾞｼｯｸM-PRO"/>
          <w:kern w:val="0"/>
        </w:rPr>
        <w:t>5</w:t>
      </w:r>
      <w:r>
        <w:rPr>
          <w:rFonts w:hint="eastAsia" w:ascii="HG丸ｺﾞｼｯｸM-PRO" w:hAnsi="HG丸ｺﾞｼｯｸM-PRO" w:eastAsia="HG丸ｺﾞｼｯｸM-PRO"/>
          <w:kern w:val="0"/>
        </w:rPr>
        <w:t>号・第</w:t>
      </w:r>
      <w:r>
        <w:rPr>
          <w:rFonts w:hint="eastAsia" w:ascii="HG丸ｺﾞｼｯｸM-PRO" w:hAnsi="HG丸ｺﾞｼｯｸM-PRO" w:eastAsia="HG丸ｺﾞｼｯｸM-PRO"/>
          <w:kern w:val="0"/>
        </w:rPr>
        <w:t>1</w:t>
      </w:r>
      <w:r>
        <w:rPr>
          <w:rFonts w:hint="default" w:ascii="HG丸ｺﾞｼｯｸM-PRO" w:hAnsi="HG丸ｺﾞｼｯｸM-PRO" w:eastAsia="HG丸ｺﾞｼｯｸM-PRO"/>
          <w:kern w:val="0"/>
        </w:rPr>
        <w:t>9</w:t>
      </w:r>
      <w:r>
        <w:rPr>
          <w:rFonts w:hint="eastAsia" w:ascii="HG丸ｺﾞｼｯｸM-PRO" w:hAnsi="HG丸ｺﾞｼｯｸM-PRO" w:eastAsia="HG丸ｺﾞｼｯｸM-PRO"/>
          <w:kern w:val="0"/>
        </w:rPr>
        <w:t>号</w:t>
      </w:r>
      <w:bookmarkEnd w:id="1"/>
      <w:r>
        <w:rPr>
          <w:rFonts w:hint="eastAsia" w:ascii="HG丸ｺﾞｼｯｸM-PRO" w:hAnsi="HG丸ｺﾞｼｯｸM-PRO" w:eastAsia="HG丸ｺﾞｼｯｸM-PRO"/>
          <w:kern w:val="0"/>
        </w:rPr>
        <w:t>に</w:t>
      </w:r>
      <w:r>
        <w:rPr>
          <w:rFonts w:hint="eastAsia" w:ascii="HG丸ｺﾞｼｯｸM-PRO" w:hAnsi="HG丸ｺﾞｼｯｸM-PRO" w:eastAsia="HG丸ｺﾞｼｯｸM-PRO"/>
          <w:color w:val="000000"/>
          <w:kern w:val="0"/>
        </w:rPr>
        <w:t>おいて、国が特例の財政</w:t>
      </w:r>
      <w:bookmarkStart w:id="2" w:name="_Hlk39242811"/>
      <w:r>
        <w:rPr>
          <w:rFonts w:hint="eastAsia" w:ascii="HG丸ｺﾞｼｯｸM-PRO" w:hAnsi="HG丸ｺﾞｼｯｸM-PRO" w:eastAsia="HG丸ｺﾞｼｯｸM-PRO"/>
          <w:color w:val="000000"/>
          <w:kern w:val="0"/>
        </w:rPr>
        <w:t>措置を講じ、半壊以上の建物の解</w:t>
      </w:r>
      <w:bookmarkEnd w:id="2"/>
      <w:r>
        <w:rPr>
          <w:rFonts w:hint="eastAsia" w:ascii="HG丸ｺﾞｼｯｸM-PRO" w:hAnsi="HG丸ｺﾞｼｯｸM-PRO" w:eastAsia="HG丸ｺﾞｼｯｸM-PRO"/>
          <w:color w:val="000000"/>
          <w:kern w:val="0"/>
        </w:rPr>
        <w:t>体についても国庫補助の対象となった事例もある。</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損壊家屋の撤去等の実施に当たっては、建物所有者の立会いを原則とする。</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建物内に残存する貴重品や思い出の品等については、撤去等の前に所有者に引き渡す。</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台帳等を利用して石綿の使用情報や危険物の混入状況等について、損壊家屋等の所有者等から情報を集約し、損壊家屋等の解体や災害廃棄物の撤去を行う関係者へ周知して、関係者へのばく露を防ぐ。</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石綿については、大気汚染防止法、災害時における石綿飛散防止に係る取扱いマニュアル（改定版）に基づき、適正に取扱うよう解体業者に対し指導を徹底する。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高圧ガスボンベ（</w:t>
      </w:r>
      <w:r>
        <w:rPr>
          <w:rFonts w:hint="default" w:ascii="HG丸ｺﾞｼｯｸM-PRO" w:hAnsi="HG丸ｺﾞｼｯｸM-PRO" w:eastAsia="HG丸ｺﾞｼｯｸM-PRO"/>
          <w:color w:val="000000"/>
          <w:kern w:val="0"/>
        </w:rPr>
        <w:t>LP</w:t>
      </w:r>
      <w:r>
        <w:rPr>
          <w:rFonts w:hint="eastAsia" w:ascii="HG丸ｺﾞｼｯｸM-PRO" w:hAnsi="HG丸ｺﾞｼｯｸM-PRO" w:eastAsia="HG丸ｺﾞｼｯｸM-PRO"/>
          <w:color w:val="000000"/>
          <w:kern w:val="0"/>
        </w:rPr>
        <w:t>ガス等）、フロン類が使用されている機器、太陽光発電設備、大型蓄電池等についても、損壊家屋等の撤去又は解体や災害廃棄物の撤去を行う関係者へ注意を促す。</w:t>
      </w:r>
    </w:p>
    <w:p>
      <w:pPr>
        <w:pStyle w:val="0"/>
        <w:rPr>
          <w:rFonts w:hint="default" w:ascii="HG丸ｺﾞｼｯｸM-PRO" w:hAnsi="HG丸ｺﾞｼｯｸM-PRO" w:eastAsia="HG丸ｺﾞｼｯｸM-PRO"/>
        </w:rPr>
      </w:pPr>
    </w:p>
    <w:p>
      <w:pPr>
        <w:pStyle w:val="3"/>
        <w:rPr>
          <w:rFonts w:hint="default"/>
        </w:rPr>
      </w:pPr>
      <w:r>
        <w:rPr>
          <w:rFonts w:hint="eastAsia"/>
        </w:rPr>
        <w:t>平時</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財政部</w:t>
      </w:r>
      <w:r>
        <w:rPr>
          <w:rFonts w:hint="eastAsia" w:ascii="HG丸ｺﾞｼｯｸM-PRO" w:hAnsi="HG丸ｺﾞｼｯｸM-PRO" w:eastAsia="HG丸ｺﾞｼｯｸM-PRO"/>
        </w:rPr>
        <w:t>局や建設部局等と連携して、り災証明、解体申請、解体事業発注、解体状況の確認等についての手順や手続きを整理するとともに、庁内の連携体制を整える。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損壊家屋等の撤去等の実施に当たっては、損壊家屋等の権利関係や正確な延べ床面積の把握等が必要となるため、り災証明書の発行業務と連携した体制を検討しておく。</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石綿の使用状況について、公共施設の管理者等から情報を収集する。</w:t>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図表６－１６　損壊家屋等の撤去（必要に応じて解体）を行う場合の手順例</w:t>
            </w:r>
          </w:p>
        </w:tc>
      </w:tr>
    </w:tbl>
    <w:p>
      <w:pPr>
        <w:pStyle w:val="0"/>
        <w:jc w:val="center"/>
        <w:rPr>
          <w:rFonts w:hint="default" w:ascii="HG丸ｺﾞｼｯｸM-PRO" w:hAnsi="HG丸ｺﾞｼｯｸM-PRO" w:eastAsia="HG丸ｺﾞｼｯｸM-PRO"/>
        </w:rPr>
      </w:pPr>
      <w:r>
        <w:rPr>
          <w:rFonts w:hint="default"/>
        </w:rPr>
        <w:drawing>
          <wp:inline distT="0" distB="0" distL="0" distR="0">
            <wp:extent cx="4192905" cy="2475865"/>
            <wp:effectExtent l="0" t="0" r="0" b="0"/>
            <wp:docPr id="1034" name="Picture 1"/>
            <a:graphic xmlns:a="http://schemas.openxmlformats.org/drawingml/2006/main">
              <a:graphicData uri="http://schemas.openxmlformats.org/drawingml/2006/picture">
                <pic:pic xmlns:pic="http://schemas.openxmlformats.org/drawingml/2006/picture">
                  <pic:nvPicPr>
                    <pic:cNvPr id="1034" name="Picture 1"/>
                    <pic:cNvPicPr>
                      <a:picLocks noChangeAspect="1" noChangeArrowheads="1"/>
                    </pic:cNvPicPr>
                  </pic:nvPicPr>
                  <pic:blipFill>
                    <a:blip r:embed="rId18"/>
                    <a:stretch>
                      <a:fillRect/>
                    </a:stretch>
                  </pic:blipFill>
                  <pic:spPr>
                    <a:xfrm>
                      <a:off x="0" y="0"/>
                      <a:ext cx="4192905" cy="2475865"/>
                    </a:xfrm>
                    <a:prstGeom prst="rect">
                      <a:avLst/>
                    </a:prstGeom>
                    <a:noFill/>
                    <a:ln>
                      <a:noFill/>
                    </a:ln>
                  </pic:spPr>
                </pic:pic>
              </a:graphicData>
            </a:graphic>
          </wp:inline>
        </w:drawing>
      </w:r>
    </w:p>
    <w:p>
      <w:pPr>
        <w:pStyle w:val="0"/>
        <w:spacing w:line="240" w:lineRule="exact"/>
        <w:ind w:left="720" w:hanging="720" w:hangingChars="400"/>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sz w:val="18"/>
        </w:rPr>
        <w:t>出典：</w:t>
      </w:r>
      <w:r>
        <w:rPr>
          <w:rFonts w:hint="eastAsia" w:ascii="HG丸ｺﾞｼｯｸM-PRO" w:hAnsi="HG丸ｺﾞｼｯｸM-PRO" w:eastAsia="HG丸ｺﾞｼｯｸM-PRO"/>
          <w:color w:val="000000"/>
          <w:kern w:val="0"/>
          <w:sz w:val="18"/>
        </w:rPr>
        <w:t>「市町村向け災害廃棄物処理行政事務の手引き」（平成</w:t>
      </w:r>
      <w:r>
        <w:rPr>
          <w:rFonts w:hint="eastAsia" w:ascii="HG丸ｺﾞｼｯｸM-PRO" w:hAnsi="HG丸ｺﾞｼｯｸM-PRO" w:eastAsia="HG丸ｺﾞｼｯｸM-PRO"/>
          <w:color w:val="000000"/>
          <w:kern w:val="0"/>
          <w:sz w:val="18"/>
        </w:rPr>
        <w:t>30</w:t>
      </w:r>
      <w:r>
        <w:rPr>
          <w:rFonts w:hint="eastAsia" w:ascii="HG丸ｺﾞｼｯｸM-PRO" w:hAnsi="HG丸ｺﾞｼｯｸM-PRO" w:eastAsia="HG丸ｺﾞｼｯｸM-PRO"/>
          <w:color w:val="000000"/>
          <w:kern w:val="0"/>
          <w:sz w:val="18"/>
        </w:rPr>
        <w:t>年３月、環境省東北地方環境事務所・関東地方環境事務所）</w:t>
      </w:r>
    </w:p>
    <w:p>
      <w:pPr>
        <w:pStyle w:val="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図表６－１７　石綿の飛散防止に関する注意点</w:t>
            </w:r>
          </w:p>
        </w:tc>
      </w:tr>
    </w:tbl>
    <w:p>
      <w:pPr>
        <w:pStyle w:val="0"/>
        <w:rPr>
          <w:rFonts w:hint="default" w:ascii="HG丸ｺﾞｼｯｸM-PRO" w:hAnsi="HG丸ｺﾞｼｯｸM-PRO" w:eastAsia="HG丸ｺﾞｼｯｸM-PRO"/>
        </w:rPr>
      </w:pPr>
    </w:p>
    <w:tbl>
      <w:tblPr>
        <w:tblStyle w:val="45"/>
        <w:tblW w:w="9634" w:type="dxa"/>
        <w:tblInd w:w="0" w:type="dxa"/>
        <w:tblBorders>
          <w:left w:val="none" w:color="auto" w:sz="0" w:space="0"/>
          <w:right w:val="none" w:color="auto" w:sz="0" w:space="0"/>
        </w:tblBorders>
        <w:tblLayout w:type="fixed"/>
        <w:tblLook w:firstRow="1" w:lastRow="0" w:firstColumn="1" w:lastColumn="0" w:noHBand="0" w:noVBand="1" w:val="04A0"/>
      </w:tblPr>
      <w:tblGrid>
        <w:gridCol w:w="1276"/>
        <w:gridCol w:w="8358"/>
      </w:tblGrid>
      <w:tr>
        <w:trPr/>
        <w:tc>
          <w:tcPr>
            <w:tcW w:w="127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木造</w:t>
            </w:r>
          </w:p>
        </w:tc>
        <w:tc>
          <w:tcPr>
            <w:tcW w:w="8358"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結露の防止等の目的で吹付け材を使用している場合があるため、木造建築物においては、「浴室」「台所」及び「煙突回り」を確認する。</w:t>
            </w:r>
            <w:r>
              <w:rPr>
                <w:rFonts w:hint="default" w:ascii="HG丸ｺﾞｼｯｸM-PRO" w:hAnsi="HG丸ｺﾞｼｯｸM-PRO" w:eastAsia="HG丸ｺﾞｼｯｸM-PRO"/>
                <w:sz w:val="20"/>
              </w:rPr>
              <w:t xml:space="preserve"> </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非飛散性であるが、屋根・天井・壁の成型板も確認する。</w:t>
            </w:r>
            <w:r>
              <w:rPr>
                <w:rFonts w:hint="default" w:ascii="HG丸ｺﾞｼｯｸM-PRO" w:hAnsi="HG丸ｺﾞｼｯｸM-PRO" w:eastAsia="HG丸ｺﾞｼｯｸM-PRO"/>
                <w:sz w:val="20"/>
              </w:rPr>
              <w:t xml:space="preserve"> </w:t>
            </w:r>
          </w:p>
        </w:tc>
      </w:tr>
      <w:tr>
        <w:trPr/>
        <w:tc>
          <w:tcPr>
            <w:tcW w:w="127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鉄骨造</w:t>
            </w:r>
          </w:p>
        </w:tc>
        <w:tc>
          <w:tcPr>
            <w:tcW w:w="8358"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rPr>
              <w:t>耐火被覆の確認を行う。</w:t>
            </w:r>
            <w:r>
              <w:rPr>
                <w:rFonts w:hint="default" w:ascii="HG丸ｺﾞｼｯｸM-PRO" w:hAnsi="HG丸ｺﾞｼｯｸM-PRO" w:eastAsia="HG丸ｺﾞｼｯｸM-PRO"/>
              </w:rPr>
              <w:t xml:space="preserve"> </w:t>
            </w:r>
          </w:p>
          <w:p>
            <w:pPr>
              <w:pStyle w:val="15"/>
              <w:numPr>
                <w:ilvl w:val="0"/>
                <w:numId w:val="4"/>
              </w:numPr>
              <w:spacing w:line="300" w:lineRule="exact"/>
              <w:ind w:left="317" w:leftChars="0" w:hanging="283"/>
              <w:rPr>
                <w:rFonts w:hint="default" w:ascii="HG丸ｺﾞｼｯｸM-PRO" w:hAnsi="HG丸ｺﾞｼｯｸM-PRO" w:eastAsia="HG丸ｺﾞｼｯｸM-PRO"/>
              </w:rPr>
            </w:pPr>
            <w:r>
              <w:rPr>
                <w:rFonts w:hint="eastAsia" w:ascii="HG丸ｺﾞｼｯｸM-PRO" w:hAnsi="HG丸ｺﾞｼｯｸM-PRO" w:eastAsia="HG丸ｺﾞｼｯｸM-PRO"/>
                <w:sz w:val="20"/>
              </w:rPr>
              <w:t>書面検査で石綿の不使用が確認されない場合、耐火被覆が施工されていれば鉄骨全面に施工されている可能性が高いので、棒等を使用して安全に配慮して試料採取・分析確認を行う。</w:t>
            </w:r>
            <w:r>
              <w:rPr>
                <w:rFonts w:hint="default" w:ascii="HG丸ｺﾞｼｯｸM-PRO" w:hAnsi="HG丸ｺﾞｼｯｸM-PRO" w:eastAsia="HG丸ｺﾞｼｯｸM-PRO"/>
                <w:sz w:val="20"/>
              </w:rPr>
              <w:t xml:space="preserve"> </w:t>
            </w:r>
          </w:p>
        </w:tc>
      </w:tr>
      <w:tr>
        <w:trPr/>
        <w:tc>
          <w:tcPr>
            <w:tcW w:w="127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鉄骨・鉄筋コンクリート造</w:t>
            </w:r>
          </w:p>
        </w:tc>
        <w:tc>
          <w:tcPr>
            <w:tcW w:w="8358"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機械室（エレベータ含む）、ボイラー室、空調設備、電気室等は、断熱・吸音の目的で、石綿含有吹付けの施工の可能性が高いので確認する。</w:t>
            </w:r>
            <w:r>
              <w:rPr>
                <w:rFonts w:hint="default" w:ascii="HG丸ｺﾞｼｯｸM-PRO" w:hAnsi="HG丸ｺﾞｼｯｸM-PRO" w:eastAsia="HG丸ｺﾞｼｯｸM-PRO"/>
                <w:sz w:val="20"/>
              </w:rPr>
              <w:t xml:space="preserve"> </w:t>
            </w:r>
          </w:p>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外壁裏打ち、層間塞ぎ、パイプシャフト、エレベータシャフト、最上階天井裏等も注意する。</w:t>
            </w:r>
            <w:r>
              <w:rPr>
                <w:rFonts w:hint="default" w:ascii="HG丸ｺﾞｼｯｸM-PRO" w:hAnsi="HG丸ｺﾞｼｯｸM-PRO" w:eastAsia="HG丸ｺﾞｼｯｸM-PRO"/>
                <w:sz w:val="20"/>
              </w:rPr>
              <w:t xml:space="preserve"> </w:t>
            </w:r>
          </w:p>
        </w:tc>
      </w:tr>
      <w:tr>
        <w:trPr/>
        <w:tc>
          <w:tcPr>
            <w:tcW w:w="127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建築設備</w:t>
            </w:r>
          </w:p>
        </w:tc>
        <w:tc>
          <w:tcPr>
            <w:tcW w:w="8358"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w:t>空調機・温水等の配管</w:t>
            </w:r>
            <w:r>
              <w:rPr>
                <w:rFonts w:hint="eastAsia" w:ascii="HG丸ｺﾞｼｯｸM-PRO" w:hAnsi="HG丸ｺﾞｼｯｸM-PRO" w:eastAsia="HG丸ｺﾞｼｯｸM-PRO"/>
                <w:sz w:val="20"/>
              </w:rPr>
              <w:t>、</w:t>
            </w:r>
            <w:r>
              <w:rPr>
                <w:rFonts w:hint="default" w:ascii="HG丸ｺﾞｼｯｸM-PRO" w:hAnsi="HG丸ｺﾞｼｯｸM-PRO" w:eastAsia="HG丸ｺﾞｼｯｸM-PRO"/>
                <w:sz w:val="20"/>
              </w:rPr>
              <w:t>煙突等の保温材・ライニング等を可能な範囲で把握する。</w:t>
            </w:r>
            <w:r>
              <w:rPr>
                <w:rFonts w:hint="default" w:ascii="HG丸ｺﾞｼｯｸM-PRO" w:hAnsi="HG丸ｺﾞｼｯｸM-PRO" w:eastAsia="HG丸ｺﾞｼｯｸM-PRO"/>
                <w:sz w:val="20"/>
              </w:rPr>
              <w:t xml:space="preserve"> </w:t>
            </w:r>
          </w:p>
        </w:tc>
      </w:tr>
    </w:tbl>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出典：「災害廃棄物対策指針」より作成</w:t>
      </w: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868"/>
        <w:gridCol w:w="4868"/>
      </w:tblGrid>
      <w:tr>
        <w:trPr/>
        <w:tc>
          <w:tcPr>
            <w:tcW w:w="4868" w:type="dxa"/>
            <w:vAlign w:val="top"/>
          </w:tcPr>
          <w:p>
            <w:pPr>
              <w:pStyle w:val="0"/>
              <w:jc w:val="center"/>
              <w:rPr>
                <w:rFonts w:hint="default"/>
              </w:rPr>
            </w:pPr>
            <w:r>
              <w:rPr>
                <w:rFonts w:hint="default"/>
              </w:rPr>
              <w:drawing>
                <wp:inline distT="0" distB="0" distL="0" distR="0">
                  <wp:extent cx="2656840" cy="2045970"/>
                  <wp:effectExtent l="0" t="0" r="0" b="0"/>
                  <wp:docPr id="1035" name="Picture 1"/>
                  <a:graphic xmlns:a="http://schemas.openxmlformats.org/drawingml/2006/main">
                    <a:graphicData uri="http://schemas.openxmlformats.org/drawingml/2006/picture">
                      <pic:pic xmlns:pic="http://schemas.openxmlformats.org/drawingml/2006/picture">
                        <pic:nvPicPr>
                          <pic:cNvPr id="1035" name="Picture 1"/>
                          <pic:cNvPicPr>
                            <a:picLocks noChangeAspect="1" noChangeArrowheads="1"/>
                          </pic:cNvPicPr>
                        </pic:nvPicPr>
                        <pic:blipFill>
                          <a:blip r:embed="rId19"/>
                          <a:stretch>
                            <a:fillRect/>
                          </a:stretch>
                        </pic:blipFill>
                        <pic:spPr>
                          <a:xfrm>
                            <a:off x="0" y="0"/>
                            <a:ext cx="2656840" cy="2045970"/>
                          </a:xfrm>
                          <a:prstGeom prst="rect">
                            <a:avLst/>
                          </a:prstGeom>
                          <a:noFill/>
                          <a:ln>
                            <a:noFill/>
                          </a:ln>
                        </pic:spPr>
                      </pic:pic>
                    </a:graphicData>
                  </a:graphic>
                </wp:inline>
              </w:drawing>
            </w:r>
          </w:p>
        </w:tc>
        <w:tc>
          <w:tcPr>
            <w:tcW w:w="4868" w:type="dxa"/>
            <w:vAlign w:val="top"/>
          </w:tcPr>
          <w:p>
            <w:pPr>
              <w:pStyle w:val="0"/>
              <w:jc w:val="center"/>
              <w:rPr>
                <w:rFonts w:hint="default"/>
              </w:rPr>
            </w:pPr>
            <w:r>
              <w:rPr>
                <w:rFonts w:hint="eastAsia"/>
              </w:rPr>
              <w:drawing>
                <wp:anchor distT="0" distB="0" distL="114300" distR="114300" simplePos="0" relativeHeight="4294967208" behindDoc="0" locked="0" layoutInCell="1" hidden="0" allowOverlap="1">
                  <wp:simplePos x="0" y="0"/>
                  <wp:positionH relativeFrom="column">
                    <wp:posOffset>-1270</wp:posOffset>
                  </wp:positionH>
                  <wp:positionV relativeFrom="paragraph">
                    <wp:posOffset>-1270</wp:posOffset>
                  </wp:positionV>
                  <wp:extent cx="2821940" cy="2054225"/>
                  <wp:effectExtent l="0" t="0" r="0" b="0"/>
                  <wp:wrapNone/>
                  <wp:docPr id="1036" name="Picture 3"/>
                  <a:graphic xmlns:a="http://schemas.openxmlformats.org/drawingml/2006/main">
                    <a:graphicData uri="http://schemas.openxmlformats.org/drawingml/2006/picture">
                      <pic:pic xmlns:pic="http://schemas.openxmlformats.org/drawingml/2006/picture">
                        <pic:nvPicPr>
                          <pic:cNvPr id="1036" name="Picture 3"/>
                          <pic:cNvPicPr>
                            <a:picLocks noChangeAspect="1" noChangeArrowheads="1"/>
                          </pic:cNvPicPr>
                        </pic:nvPicPr>
                        <pic:blipFill>
                          <a:blip r:embed="rId20"/>
                          <a:stretch>
                            <a:fillRect/>
                          </a:stretch>
                        </pic:blipFill>
                        <pic:spPr>
                          <a:xfrm>
                            <a:off x="0" y="0"/>
                            <a:ext cx="2821940" cy="2054225"/>
                          </a:xfrm>
                          <a:prstGeom prst="rect">
                            <a:avLst/>
                          </a:prstGeom>
                          <a:noFill/>
                          <a:ln w="9525">
                            <a:noFill/>
                            <a:miter lim="800000"/>
                            <a:headEnd/>
                            <a:tailEnd/>
                          </a:ln>
                        </pic:spPr>
                      </pic:pic>
                    </a:graphicData>
                  </a:graphic>
                </wp:anchor>
              </w:drawing>
            </w:r>
          </w:p>
        </w:tc>
      </w:tr>
      <w:tr>
        <w:trPr/>
        <w:tc>
          <w:tcPr>
            <w:tcW w:w="4868"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石綿含有吹付けロックウール</w:t>
            </w:r>
          </w:p>
        </w:tc>
        <w:tc>
          <w:tcPr>
            <w:tcW w:w="4868"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石綿含有スレート波板（屋根・外壁）</w:t>
            </w:r>
          </w:p>
        </w:tc>
      </w:tr>
    </w:tbl>
    <w:p>
      <w:pPr>
        <w:pStyle w:val="0"/>
        <w:ind w:firstLine="360" w:firstLineChars="200"/>
        <w:rPr>
          <w:rFonts w:hint="default"/>
          <w:sz w:val="18"/>
        </w:rPr>
      </w:pPr>
      <w:r>
        <w:rPr>
          <w:rFonts w:hint="eastAsia" w:ascii="HG丸ｺﾞｼｯｸM-PRO" w:hAnsi="HG丸ｺﾞｼｯｸM-PRO" w:eastAsia="HG丸ｺﾞｼｯｸM-PRO"/>
          <w:sz w:val="18"/>
        </w:rPr>
        <w:t>出典：「目で見るアスベスト建材（第２版）」（平成</w:t>
      </w:r>
      <w:r>
        <w:rPr>
          <w:rFonts w:hint="eastAsia" w:ascii="HG丸ｺﾞｼｯｸM-PRO" w:hAnsi="HG丸ｺﾞｼｯｸM-PRO" w:eastAsia="HG丸ｺﾞｼｯｸM-PRO"/>
          <w:sz w:val="18"/>
        </w:rPr>
        <w:t>20</w:t>
      </w:r>
      <w:r>
        <w:rPr>
          <w:rFonts w:hint="eastAsia" w:ascii="HG丸ｺﾞｼｯｸM-PRO" w:hAnsi="HG丸ｺﾞｼｯｸM-PRO" w:eastAsia="HG丸ｺﾞｼｯｸM-PRO"/>
          <w:sz w:val="18"/>
        </w:rPr>
        <w:t>年３月、国土交通省）</w:t>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第８節　処理業務の進捗管理</w:t>
            </w:r>
          </w:p>
        </w:tc>
      </w:tr>
    </w:tbl>
    <w:p>
      <w:pPr>
        <w:pStyle w:val="3"/>
        <w:numPr>
          <w:ilvl w:val="2"/>
          <w:numId w:val="13"/>
        </w:numPr>
        <w:rPr>
          <w:rFonts w:hint="default"/>
          <w:color w:val="000000"/>
          <w:kern w:val="0"/>
        </w:rPr>
      </w:pPr>
      <w:r>
        <w:rPr>
          <w:rFonts w:hint="eastAsia"/>
          <w:color w:val="000000"/>
          <w:kern w:val="0"/>
        </w:rPr>
        <w:t>災害時</w:t>
      </w:r>
    </w:p>
    <w:p>
      <w:pPr>
        <w:pStyle w:val="0"/>
        <w:rPr>
          <w:rFonts w:hint="default" w:ascii="HG丸ｺﾞｼｯｸM-PRO" w:hAnsi="HG丸ｺﾞｼｯｸM-PRO" w:eastAsia="HG丸ｺﾞｼｯｸM-PRO"/>
        </w:rPr>
      </w:pPr>
      <w:r>
        <w:rPr>
          <w:rFonts w:hint="eastAsia"/>
        </w:rPr>
        <w:t>　</w:t>
      </w:r>
      <w:r>
        <w:rPr>
          <w:rFonts w:hint="eastAsia" w:ascii="HG丸ｺﾞｼｯｸM-PRO" w:hAnsi="HG丸ｺﾞｼｯｸM-PRO" w:eastAsia="HG丸ｺﾞｼｯｸM-PRO"/>
        </w:rPr>
        <w:t>【計量等の記録】</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災害廃棄物の仮置場への搬入・搬出量を車両の台数や計量器で計量し、記録する。また、解体家屋数、処分量等を把握し、進捗管理を行う。（図表６－１８）</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災害廃棄物を仮置場から搬出する際は、管理伝票を用いて処理量、処理先、処理方法等を把握する。</w:t>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図表６－１８　記録の種類</w:t>
            </w:r>
          </w:p>
        </w:tc>
      </w:tr>
    </w:tbl>
    <w:p>
      <w:pPr>
        <w:pStyle w:val="0"/>
        <w:rPr>
          <w:rFonts w:hint="default" w:ascii="HG丸ｺﾞｼｯｸM-PRO" w:hAnsi="HG丸ｺﾞｼｯｸM-PRO" w:eastAsia="HG丸ｺﾞｼｯｸM-PRO"/>
        </w:rPr>
      </w:pPr>
    </w:p>
    <w:tbl>
      <w:tblPr>
        <w:tblStyle w:val="45"/>
        <w:tblW w:w="9736" w:type="dxa"/>
        <w:tblInd w:w="0" w:type="dxa"/>
        <w:tblBorders>
          <w:left w:val="none" w:color="auto" w:sz="0" w:space="0"/>
          <w:right w:val="none" w:color="auto" w:sz="0" w:space="0"/>
        </w:tblBorders>
        <w:tblLayout w:type="fixed"/>
        <w:tblLook w:firstRow="1" w:lastRow="0" w:firstColumn="1" w:lastColumn="0" w:noHBand="0" w:noVBand="1" w:val="04A0"/>
      </w:tblPr>
      <w:tblGrid>
        <w:gridCol w:w="1980"/>
        <w:gridCol w:w="7756"/>
      </w:tblGrid>
      <w:tr>
        <w:trPr/>
        <w:tc>
          <w:tcPr>
            <w:tcW w:w="1980" w:type="dxa"/>
            <w:shd w:val="clear" w:color="auto" w:themeFill="background1" w:themeFillTint="FF" w:themeFillShade="D9"/>
            <w:vAlign w:val="top"/>
          </w:tcPr>
          <w:p>
            <w:pPr>
              <w:pStyle w:val="22"/>
              <w:jc w:val="both"/>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仮置場の搬入・搬出における記録</w:t>
            </w:r>
            <w:r>
              <w:rPr>
                <w:rFonts w:hint="default" w:ascii="HG丸ｺﾞｼｯｸM-PRO" w:hAnsi="HG丸ｺﾞｼｯｸM-PRO" w:eastAsia="HG丸ｺﾞｼｯｸM-PRO"/>
                <w:sz w:val="20"/>
              </w:rPr>
              <w:t xml:space="preserve"> </w:t>
            </w:r>
          </w:p>
        </w:tc>
        <w:tc>
          <w:tcPr>
            <w:tcW w:w="7756"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color w:val="000000"/>
                <w:kern w:val="0"/>
                <w:sz w:val="20"/>
              </w:rPr>
            </w:pPr>
            <w:r>
              <w:rPr>
                <w:rFonts w:hint="eastAsia" w:ascii="HG丸ｺﾞｼｯｸM-PRO" w:hAnsi="HG丸ｺﾞｼｯｸM-PRO" w:eastAsia="HG丸ｺﾞｼｯｸM-PRO"/>
                <w:color w:val="000000"/>
                <w:kern w:val="0"/>
                <w:sz w:val="20"/>
              </w:rPr>
              <w:t>搬入・搬出重量及び車両台数、種類別・積載量、発生元の地域、搬出先等</w:t>
            </w:r>
            <w:r>
              <w:rPr>
                <w:rFonts w:hint="default" w:ascii="HG丸ｺﾞｼｯｸM-PRO" w:hAnsi="HG丸ｺﾞｼｯｸM-PRO" w:eastAsia="HG丸ｺﾞｼｯｸM-PRO"/>
                <w:color w:val="000000"/>
                <w:kern w:val="0"/>
                <w:sz w:val="20"/>
              </w:rPr>
              <w:t xml:space="preserve"> </w:t>
            </w:r>
          </w:p>
          <w:p>
            <w:pPr>
              <w:pStyle w:val="15"/>
              <w:numPr>
                <w:ilvl w:val="0"/>
                <w:numId w:val="4"/>
              </w:numPr>
              <w:spacing w:line="300" w:lineRule="exact"/>
              <w:ind w:left="317" w:leftChars="0" w:hanging="283"/>
              <w:rPr>
                <w:rFonts w:hint="default" w:ascii="HG丸ｺﾞｼｯｸM-PRO" w:hAnsi="HG丸ｺﾞｼｯｸM-PRO" w:eastAsia="HG丸ｺﾞｼｯｸM-PRO"/>
                <w:color w:val="000000"/>
                <w:kern w:val="0"/>
                <w:sz w:val="20"/>
              </w:rPr>
            </w:pPr>
            <w:r>
              <w:rPr>
                <w:rFonts w:hint="eastAsia" w:ascii="HG丸ｺﾞｼｯｸM-PRO" w:hAnsi="HG丸ｺﾞｼｯｸM-PRO" w:eastAsia="HG丸ｺﾞｼｯｸM-PRO"/>
                <w:color w:val="000000"/>
                <w:kern w:val="0"/>
                <w:sz w:val="20"/>
              </w:rPr>
              <w:t>車両</w:t>
            </w:r>
            <w:r>
              <w:rPr>
                <w:rFonts w:hint="default" w:ascii="HG丸ｺﾞｼｯｸM-PRO" w:hAnsi="HG丸ｺﾞｼｯｸM-PRO" w:eastAsia="HG丸ｺﾞｼｯｸM-PRO"/>
                <w:color w:val="000000"/>
                <w:kern w:val="0"/>
                <w:sz w:val="20"/>
              </w:rPr>
              <w:t>1</w:t>
            </w:r>
            <w:r>
              <w:rPr>
                <w:rFonts w:hint="eastAsia" w:ascii="HG丸ｺﾞｼｯｸM-PRO" w:hAnsi="HG丸ｺﾞｼｯｸM-PRO" w:eastAsia="HG丸ｺﾞｼｯｸM-PRO"/>
                <w:color w:val="000000"/>
                <w:kern w:val="0"/>
                <w:sz w:val="20"/>
              </w:rPr>
              <w:t>台毎の写真、日毎の作業員数・施工状況写真</w:t>
            </w:r>
            <w:r>
              <w:rPr>
                <w:rFonts w:hint="default" w:ascii="HG丸ｺﾞｼｯｸM-PRO" w:hAnsi="HG丸ｺﾞｼｯｸM-PRO" w:eastAsia="HG丸ｺﾞｼｯｸM-PRO"/>
                <w:color w:val="000000"/>
                <w:kern w:val="0"/>
                <w:sz w:val="20"/>
              </w:rPr>
              <w:t xml:space="preserve"> </w:t>
            </w:r>
          </w:p>
          <w:p>
            <w:pPr>
              <w:pStyle w:val="15"/>
              <w:numPr>
                <w:ilvl w:val="0"/>
                <w:numId w:val="4"/>
              </w:numPr>
              <w:spacing w:line="300" w:lineRule="exact"/>
              <w:ind w:left="317" w:leftChars="0" w:hanging="283"/>
              <w:rPr>
                <w:rFonts w:hint="default" w:ascii="HG丸ｺﾞｼｯｸM-PRO" w:hAnsi="HG丸ｺﾞｼｯｸM-PRO" w:eastAsia="HG丸ｺﾞｼｯｸM-PRO"/>
                <w:color w:val="000000"/>
                <w:kern w:val="0"/>
                <w:sz w:val="20"/>
              </w:rPr>
            </w:pPr>
            <w:r>
              <w:rPr>
                <w:rFonts w:hint="eastAsia" w:ascii="HG丸ｺﾞｼｯｸM-PRO" w:hAnsi="HG丸ｺﾞｼｯｸM-PRO" w:eastAsia="HG丸ｺﾞｼｯｸM-PRO"/>
                <w:color w:val="000000"/>
                <w:kern w:val="0"/>
                <w:sz w:val="20"/>
              </w:rPr>
              <w:t>災害廃棄物の集積面積・高さによる推計量の変化</w:t>
            </w:r>
          </w:p>
        </w:tc>
      </w:tr>
      <w:tr>
        <w:trPr/>
        <w:tc>
          <w:tcPr>
            <w:tcW w:w="1980" w:type="dxa"/>
            <w:shd w:val="clear" w:color="auto" w:themeFill="background1" w:themeFillTint="FF" w:themeFillShade="D9"/>
            <w:vAlign w:val="top"/>
          </w:tcPr>
          <w:p>
            <w:pPr>
              <w:pStyle w:val="22"/>
              <w:jc w:val="both"/>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処理における記録</w:t>
            </w:r>
            <w:r>
              <w:rPr>
                <w:rFonts w:hint="default" w:ascii="HG丸ｺﾞｼｯｸM-PRO" w:hAnsi="HG丸ｺﾞｼｯｸM-PRO" w:eastAsia="HG丸ｺﾞｼｯｸM-PRO"/>
                <w:sz w:val="20"/>
              </w:rPr>
              <w:t xml:space="preserve"> </w:t>
            </w:r>
          </w:p>
        </w:tc>
        <w:tc>
          <w:tcPr>
            <w:tcW w:w="7756" w:type="dxa"/>
            <w:vAlign w:val="top"/>
          </w:tcPr>
          <w:p>
            <w:pPr>
              <w:pStyle w:val="15"/>
              <w:numPr>
                <w:ilvl w:val="0"/>
                <w:numId w:val="4"/>
              </w:numPr>
              <w:spacing w:line="300" w:lineRule="exact"/>
              <w:ind w:left="317" w:leftChars="0" w:hanging="283"/>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種類別処理方法別（焼却、リサイクル、最終処分）の処理前・処理後の数量</w:t>
            </w:r>
            <w:r>
              <w:rPr>
                <w:rFonts w:hint="default" w:ascii="HG丸ｺﾞｼｯｸM-PRO" w:hAnsi="HG丸ｺﾞｼｯｸM-PRO" w:eastAsia="HG丸ｺﾞｼｯｸM-PRO"/>
                <w:sz w:val="20"/>
              </w:rPr>
              <w:t xml:space="preserve"> </w:t>
            </w:r>
          </w:p>
        </w:tc>
      </w:tr>
    </w:tbl>
    <w:p>
      <w:pPr>
        <w:pStyle w:val="0"/>
        <w:rPr>
          <w:rFonts w:hint="default" w:ascii="HG丸ｺﾞｼｯｸM-PRO" w:hAnsi="HG丸ｺﾞｼｯｸM-PRO" w:eastAsia="HG丸ｺﾞｼｯｸM-PRO"/>
          <w:color w:val="000000"/>
          <w:kern w:val="0"/>
        </w:rPr>
      </w:pPr>
    </w:p>
    <w:p>
      <w:pPr>
        <w:pStyle w:val="0"/>
        <w:autoSpaceDE w:val="0"/>
        <w:autoSpaceDN w:val="0"/>
        <w:adjustRightInd w:val="0"/>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【処理の進捗管理】</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処理の進捗管理に係る人員が不足する場合は、事業者への進捗管理業務の委託を検討する。県は、本市から報告を受け、災害廃棄物処理の進捗状況を把握する。</w:t>
      </w:r>
    </w:p>
    <w:p>
      <w:pPr>
        <w:pStyle w:val="0"/>
        <w:autoSpaceDE w:val="0"/>
        <w:autoSpaceDN w:val="0"/>
        <w:adjustRightInd w:val="0"/>
        <w:jc w:val="left"/>
        <w:rPr>
          <w:rFonts w:hint="default" w:ascii="HG丸ｺﾞｼｯｸM-PRO" w:hAnsi="HG丸ｺﾞｼｯｸM-PRO" w:eastAsia="HG丸ｺﾞｼｯｸM-PRO"/>
          <w:color w:val="000000"/>
          <w:kern w:val="0"/>
        </w:rPr>
      </w:pPr>
    </w:p>
    <w:p>
      <w:pPr>
        <w:pStyle w:val="0"/>
        <w:autoSpaceDE w:val="0"/>
        <w:autoSpaceDN w:val="0"/>
        <w:adjustRightInd w:val="0"/>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【災害報告書の作成】</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災害廃棄物の処理と並行して、災害廃棄物処理に係る国庫補助（災害等廃棄物処理事業費補助金、廃棄物処理施設災害復旧事業）申請の準備を行う。</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申請の準備を行うために、「災害関係業務事務処理マニュアル（自治体事務担当者用）」（平成</w:t>
      </w:r>
      <w:r>
        <w:rPr>
          <w:rFonts w:hint="default" w:ascii="HG丸ｺﾞｼｯｸM-PRO" w:hAnsi="HG丸ｺﾞｼｯｸM-PRO" w:eastAsia="HG丸ｺﾞｼｯｸM-PRO"/>
          <w:color w:val="000000"/>
          <w:kern w:val="0"/>
        </w:rPr>
        <w:t>26</w:t>
      </w:r>
      <w:r>
        <w:rPr>
          <w:rFonts w:hint="eastAsia" w:ascii="HG丸ｺﾞｼｯｸM-PRO" w:hAnsi="HG丸ｺﾞｼｯｸM-PRO" w:eastAsia="HG丸ｺﾞｼｯｸM-PRO"/>
          <w:color w:val="000000"/>
          <w:kern w:val="0"/>
        </w:rPr>
        <w:t>年</w:t>
      </w:r>
      <w:r>
        <w:rPr>
          <w:rFonts w:hint="default" w:ascii="HG丸ｺﾞｼｯｸM-PRO" w:hAnsi="HG丸ｺﾞｼｯｸM-PRO" w:eastAsia="HG丸ｺﾞｼｯｸM-PRO"/>
          <w:color w:val="000000"/>
          <w:kern w:val="0"/>
        </w:rPr>
        <w:t>6</w:t>
      </w:r>
      <w:r>
        <w:rPr>
          <w:rFonts w:hint="eastAsia" w:ascii="HG丸ｺﾞｼｯｸM-PRO" w:hAnsi="HG丸ｺﾞｼｯｸM-PRO" w:eastAsia="HG丸ｺﾞｼｯｸM-PRO"/>
          <w:color w:val="000000"/>
          <w:kern w:val="0"/>
        </w:rPr>
        <w:t>月）を熟読する。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補助金の事務を円滑に進めるために、災害廃棄物の数量や仮置場の写真、作業日報（作業日、作業者数、重機種類・台数、運搬車両種類・台数等を記載）、事業費算出の明細等を整理する。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災害廃棄物処理に係る国庫補助の事務について必要な知識を有する職員を配置する。</w:t>
      </w:r>
    </w:p>
    <w:p>
      <w:pPr>
        <w:pStyle w:val="0"/>
        <w:rPr>
          <w:rFonts w:hint="default" w:ascii="HG丸ｺﾞｼｯｸM-PRO" w:hAnsi="HG丸ｺﾞｼｯｸM-PRO" w:eastAsia="HG丸ｺﾞｼｯｸM-PRO"/>
        </w:rPr>
      </w:pPr>
    </w:p>
    <w:p>
      <w:pPr>
        <w:pStyle w:val="3"/>
        <w:rPr>
          <w:rFonts w:hint="default"/>
          <w:color w:val="000000"/>
          <w:kern w:val="0"/>
        </w:rPr>
      </w:pPr>
      <w:r>
        <w:rPr>
          <w:rFonts w:hint="eastAsia"/>
          <w:color w:val="000000"/>
          <w:kern w:val="0"/>
        </w:rPr>
        <w:t>平時</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災害廃棄物処理に係る国庫補助申請で必要となる報告書の作成等について、必要な知識の習得に努める。</w:t>
      </w:r>
    </w:p>
    <w:p>
      <w:pPr>
        <w:pStyle w:val="0"/>
        <w:widowControl w:val="1"/>
        <w:jc w:val="left"/>
        <w:rPr>
          <w:rFonts w:hint="default" w:ascii="HG丸ｺﾞｼｯｸM-PRO" w:hAnsi="HG丸ｺﾞｼｯｸM-PRO" w:eastAsia="HG丸ｺﾞｼｯｸM-PRO"/>
        </w:rPr>
        <w:sectPr>
          <w:headerReference r:id="rId8" w:type="default"/>
          <w:footerReference r:id="rId9" w:type="default"/>
          <w:pgSz w:w="11906" w:h="16838"/>
          <w:pgMar w:top="1440" w:right="1080" w:bottom="1440" w:left="1080" w:header="851" w:footer="992" w:gutter="0"/>
          <w:cols w:space="720"/>
          <w:textDirection w:val="lrTb"/>
          <w:docGrid w:type="lines" w:linePitch="360"/>
        </w:sect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B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第７章　教育訓練</w:t>
            </w:r>
          </w:p>
        </w:tc>
      </w:tr>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第１節　職員への教育訓練</w:t>
            </w:r>
          </w:p>
        </w:tc>
      </w:tr>
    </w:tbl>
    <w:p>
      <w:pPr>
        <w:pStyle w:val="23"/>
        <w:rPr>
          <w:rFonts w:hint="default" w:ascii="HG丸ｺﾞｼｯｸM-PRO" w:hAnsi="HG丸ｺﾞｼｯｸM-PRO" w:eastAsia="HG丸ｺﾞｼｯｸM-PRO"/>
        </w:rPr>
      </w:pPr>
      <w:r>
        <w:rPr>
          <w:rFonts w:hint="eastAsia" w:ascii="HG丸ｺﾞｼｯｸM-PRO" w:hAnsi="HG丸ｺﾞｼｯｸM-PRO" w:eastAsia="HG丸ｺﾞｼｯｸM-PRO"/>
        </w:rPr>
        <w:t>本計画が災害時に有効に活用されるよう記載内容を職員に周知する。</w:t>
      </w:r>
    </w:p>
    <w:p>
      <w:pPr>
        <w:pStyle w:val="23"/>
        <w:rPr>
          <w:rFonts w:hint="default" w:ascii="HG丸ｺﾞｼｯｸM-PRO" w:hAnsi="HG丸ｺﾞｼｯｸM-PRO" w:eastAsia="HG丸ｺﾞｼｯｸM-PRO"/>
        </w:rPr>
      </w:pPr>
      <w:r>
        <w:rPr>
          <w:rFonts w:hint="eastAsia" w:ascii="HG丸ｺﾞｼｯｸM-PRO" w:hAnsi="HG丸ｺﾞｼｯｸM-PRO" w:eastAsia="HG丸ｺﾞｼｯｸM-PRO"/>
        </w:rPr>
        <w:t>また、</w:t>
      </w:r>
      <w:r>
        <w:rPr>
          <w:rFonts w:hint="eastAsia" w:ascii="HG丸ｺﾞｼｯｸM-PRO" w:hAnsi="HG丸ｺﾞｼｯｸM-PRO" w:eastAsia="HG丸ｺﾞｼｯｸM-PRO"/>
          <w:color w:val="000000"/>
          <w:kern w:val="0"/>
        </w:rPr>
        <w:t>災害時に速やかに行動できるよう、教育・訓練を定期的に実施し</w:t>
      </w:r>
      <w:bookmarkStart w:id="3" w:name="_Hlk39250144"/>
      <w:r>
        <w:rPr>
          <w:rFonts w:hint="eastAsia" w:ascii="HG丸ｺﾞｼｯｸM-PRO" w:hAnsi="HG丸ｺﾞｼｯｸM-PRO" w:eastAsia="HG丸ｺﾞｼｯｸM-PRO"/>
          <w:color w:val="000000"/>
          <w:kern w:val="0"/>
        </w:rPr>
        <w:t>たり、国や</w:t>
      </w:r>
      <w:r>
        <w:rPr>
          <w:rFonts w:hint="eastAsia" w:ascii="HG丸ｺﾞｼｯｸM-PRO" w:hAnsi="HG丸ｺﾞｼｯｸM-PRO" w:eastAsia="HG丸ｺﾞｼｯｸM-PRO"/>
          <w:kern w:val="0"/>
        </w:rPr>
        <w:t>県</w:t>
      </w:r>
      <w:r>
        <w:rPr>
          <w:rFonts w:hint="eastAsia" w:ascii="HG丸ｺﾞｼｯｸM-PRO" w:hAnsi="HG丸ｺﾞｼｯｸM-PRO" w:eastAsia="HG丸ｺﾞｼｯｸM-PRO"/>
          <w:color w:val="000000"/>
          <w:kern w:val="0"/>
        </w:rPr>
        <w:t>が実施する教育訓練に参加することで、</w:t>
      </w:r>
      <w:bookmarkEnd w:id="3"/>
      <w:r>
        <w:rPr>
          <w:rFonts w:hint="eastAsia" w:ascii="HG丸ｺﾞｼｯｸM-PRO" w:hAnsi="HG丸ｺﾞｼｯｸM-PRO" w:eastAsia="HG丸ｺﾞｼｯｸM-PRO"/>
        </w:rPr>
        <w:t>災害対</w:t>
      </w:r>
      <w:bookmarkStart w:id="4" w:name="_Hlk48656206"/>
      <w:r>
        <w:rPr>
          <w:rFonts w:hint="eastAsia" w:ascii="HG丸ｺﾞｼｯｸM-PRO" w:hAnsi="HG丸ｺﾞｼｯｸM-PRO" w:eastAsia="HG丸ｺﾞｼｯｸM-PRO"/>
        </w:rPr>
        <w:t>応力の向上を図る。</w:t>
      </w:r>
      <w:r>
        <w:rPr>
          <w:rFonts w:hint="eastAsia" w:ascii="HG丸ｺﾞｼｯｸM-PRO" w:hAnsi="HG丸ｺﾞｼｯｸM-PRO" w:eastAsia="HG丸ｺﾞｼｯｸM-PRO"/>
          <w:color w:val="000000"/>
          <w:kern w:val="0"/>
        </w:rPr>
        <w:t>なお、教育訓練によって得られた</w:t>
      </w:r>
      <w:bookmarkEnd w:id="4"/>
      <w:r>
        <w:rPr>
          <w:rFonts w:hint="eastAsia" w:ascii="HG丸ｺﾞｼｯｸM-PRO" w:hAnsi="HG丸ｺﾞｼｯｸM-PRO" w:eastAsia="HG丸ｺﾞｼｯｸM-PRO"/>
          <w:color w:val="000000"/>
          <w:kern w:val="0"/>
        </w:rPr>
        <w:t>課題は、本計画の見直しに活用する。</w:t>
      </w:r>
    </w:p>
    <w:p>
      <w:pPr>
        <w:pStyle w:val="23"/>
        <w:rPr>
          <w:rFonts w:hint="default" w:ascii="HG丸ｺﾞｼｯｸM-PRO" w:hAnsi="HG丸ｺﾞｼｯｸM-PRO" w:eastAsia="HG丸ｺﾞｼｯｸM-PRO"/>
        </w:rPr>
      </w:pPr>
    </w:p>
    <w:p>
      <w:pPr>
        <w:pStyle w:val="23"/>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【訓練、演習の方法（例）】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災害廃棄物処理計画の周知、読み合わせ</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セミナー、講演会、勉強会（</w:t>
      </w:r>
      <w:r>
        <w:rPr>
          <w:rFonts w:hint="eastAsia" w:ascii="HG丸ｺﾞｼｯｸM-PRO" w:hAnsi="HG丸ｺﾞｼｯｸM-PRO" w:eastAsia="HG丸ｺﾞｼｯｸM-PRO"/>
          <w:color w:val="000000"/>
          <w:kern w:val="0"/>
        </w:rPr>
        <w:t>過去の災害廃棄物処理の経験に学ぶ教訓、仮置場の管理に係る実務、災害廃棄物の処理方法、災害報告書作成・補助金交付申請事務に係る実務、災害廃棄物処理に係る関連法令等）</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情報伝達訓練</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図上演習、机上演習</w:t>
      </w:r>
    </w:p>
    <w:p>
      <w:pPr>
        <w:pStyle w:val="0"/>
        <w:autoSpaceDE w:val="0"/>
        <w:autoSpaceDN w:val="0"/>
        <w:adjustRightInd w:val="0"/>
        <w:jc w:val="left"/>
        <w:rPr>
          <w:rFonts w:hint="default" w:ascii="ＭＳ 明朝" w:hAnsi="ＭＳ 明朝"/>
          <w:color w:val="000000"/>
          <w:kern w:val="0"/>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第２節　経験の継承</w:t>
            </w:r>
          </w:p>
        </w:tc>
      </w:tr>
    </w:tbl>
    <w:p>
      <w:pPr>
        <w:pStyle w:val="23"/>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災害における災害廃棄物処理の初動期から復旧・復興期までの行動を記録し、経験を継承することにより、今後の災害に備え、災害時の円滑かつ迅速な対応に活かす。</w:t>
      </w:r>
    </w:p>
    <w:p>
      <w:pPr>
        <w:pStyle w:val="0"/>
        <w:rPr>
          <w:rFonts w:hint="default" w:ascii="HG丸ｺﾞｼｯｸM-PRO" w:hAnsi="HG丸ｺﾞｼｯｸM-PRO" w:eastAsia="HG丸ｺﾞｼｯｸM-PRO"/>
        </w:rPr>
      </w:pPr>
    </w:p>
    <w:p>
      <w:pPr>
        <w:rPr>
          <w:rFonts w:hint="default" w:ascii="HG丸ｺﾞｼｯｸM-PRO" w:hAnsi="HG丸ｺﾞｼｯｸM-PRO" w:eastAsia="HG丸ｺﾞｼｯｸM-PRO"/>
        </w:rPr>
        <w:sectPr>
          <w:headerReference r:id="rId21" w:type="default"/>
          <w:footerReference r:id="rId22" w:type="default"/>
          <w:pgSz w:w="11906" w:h="16838"/>
          <w:pgMar w:top="1440" w:right="1080" w:bottom="1440" w:left="1080" w:header="851" w:footer="992" w:gutter="0"/>
          <w:cols w:space="720"/>
          <w:textDirection w:val="lrTb"/>
          <w:docGrid w:type="lines" w:linePitch="360"/>
        </w:sect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B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第８章　災害廃棄物対策の推進・計画の進捗管理</w:t>
            </w:r>
          </w:p>
        </w:tc>
      </w:tr>
    </w:tbl>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平時から災害廃棄物処理に係る備えを進め、県・他市町村・事業者・市民の連携により災害廃棄物の適正かつ円滑・迅速な処理を通じて早期の復旧・復興につなげるとともに、環境負荷の低減、経済的な処理を実現する。</w:t>
      </w:r>
    </w:p>
    <w:p>
      <w:pPr>
        <w:pStyle w:val="0"/>
        <w:ind w:firstLine="210" w:firstLineChars="100"/>
        <w:rPr>
          <w:rFonts w:hint="default" w:ascii="HG丸ｺﾞｼｯｸM-PRO" w:hAnsi="HG丸ｺﾞｼｯｸM-PRO" w:eastAsia="HG丸ｺﾞｼｯｸM-PRO"/>
        </w:rPr>
      </w:pPr>
    </w:p>
    <w:p>
      <w:pPr>
        <w:pStyle w:val="3"/>
        <w:numPr>
          <w:ilvl w:val="2"/>
          <w:numId w:val="14"/>
        </w:numPr>
        <w:rPr>
          <w:rFonts w:hint="default"/>
        </w:rPr>
      </w:pPr>
      <w:r>
        <w:rPr>
          <w:rFonts w:hint="eastAsia"/>
        </w:rPr>
        <w:t>災害廃棄物処理計画による実行性の向上</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本計画を通じて庁内及び県、他市町村、事業者、市民とともに災害への備えの重要性を共有し、それぞれの行動につなげるよう働きかける。</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災害廃棄物処理に関連して</w:t>
      </w:r>
      <w:r>
        <w:rPr>
          <w:rFonts w:hint="default" w:ascii="HG丸ｺﾞｼｯｸM-PRO" w:hAnsi="HG丸ｺﾞｼｯｸM-PRO" w:eastAsia="HG丸ｺﾞｼｯｸM-PRO"/>
          <w:color w:val="000000"/>
          <w:kern w:val="0"/>
        </w:rPr>
        <w:t>BCP</w:t>
      </w:r>
      <w:r>
        <w:rPr>
          <w:rFonts w:hint="eastAsia" w:ascii="HG丸ｺﾞｼｯｸM-PRO" w:hAnsi="HG丸ｺﾞｼｯｸM-PRO" w:eastAsia="HG丸ｺﾞｼｯｸM-PRO"/>
          <w:color w:val="000000"/>
          <w:kern w:val="0"/>
        </w:rPr>
        <w:t>を策定し、災害時の行動の強化を図る。</w:t>
      </w:r>
    </w:p>
    <w:p>
      <w:pPr>
        <w:pStyle w:val="15"/>
        <w:ind w:left="780" w:leftChars="0"/>
        <w:rPr>
          <w:rFonts w:hint="default" w:ascii="HG丸ｺﾞｼｯｸM-PRO" w:hAnsi="HG丸ｺﾞｼｯｸM-PRO" w:eastAsia="HG丸ｺﾞｼｯｸM-PRO"/>
          <w:color w:val="000000"/>
          <w:kern w:val="0"/>
        </w:rPr>
      </w:pPr>
    </w:p>
    <w:p>
      <w:pPr>
        <w:pStyle w:val="3"/>
        <w:numPr>
          <w:ilvl w:val="2"/>
          <w:numId w:val="14"/>
        </w:numPr>
        <w:rPr>
          <w:rFonts w:hint="default"/>
          <w:color w:val="000000"/>
          <w:kern w:val="0"/>
        </w:rPr>
      </w:pPr>
      <w:r>
        <w:rPr>
          <w:rFonts w:hint="eastAsia"/>
          <w:color w:val="000000"/>
          <w:kern w:val="0"/>
        </w:rPr>
        <w:t>情報共有と教育・訓練の実施</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これまでの災害廃棄物処理の経験を継承し、経験を活かしていくことで、今後の災害廃棄物処理に係る対応力の向上につなげる。</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県、他市町村、事業者等の関係者との情報共有・コミュニケーションを図り連携を強化するとともに、目的に応じた効果的な教育・訓練を定期的に実施する。</w:t>
      </w:r>
    </w:p>
    <w:p>
      <w:pPr>
        <w:pStyle w:val="0"/>
        <w:autoSpaceDE w:val="0"/>
        <w:autoSpaceDN w:val="0"/>
        <w:adjustRightInd w:val="0"/>
        <w:jc w:val="left"/>
        <w:rPr>
          <w:rFonts w:hint="default" w:ascii="ＭＳ 明朝" w:hAnsi="ＭＳ 明朝"/>
          <w:color w:val="000000"/>
          <w:kern w:val="0"/>
        </w:rPr>
      </w:pPr>
    </w:p>
    <w:p>
      <w:pPr>
        <w:pStyle w:val="3"/>
        <w:numPr>
          <w:ilvl w:val="2"/>
          <w:numId w:val="14"/>
        </w:numPr>
        <w:rPr>
          <w:rFonts w:hint="default"/>
          <w:color w:val="000000"/>
          <w:kern w:val="0"/>
        </w:rPr>
      </w:pPr>
      <w:r>
        <w:rPr>
          <w:rFonts w:hint="eastAsia"/>
          <w:color w:val="000000"/>
          <w:kern w:val="0"/>
        </w:rPr>
        <w:t>進捗管理・評価による課題の抽出</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廃棄物処理に備えた体制を構築していくため、県や事業者その他の関係機関・関係団体との連絡を密にする。教育・訓練履修者の数や仮置場の候補地の選定等の進捗状況を毎年確認するとともに、県等と課題を共有し、評価・検討を通じて対応能力の向上を図る。</w:t>
      </w:r>
    </w:p>
    <w:p>
      <w:pPr>
        <w:pStyle w:val="15"/>
        <w:numPr>
          <w:ilvl w:val="0"/>
          <w:numId w:val="4"/>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災害時の初動期から復旧・復興期までの行動を記録し、災害廃棄物処理における課題の抽出を行う。</w:t>
      </w:r>
    </w:p>
    <w:p>
      <w:pPr>
        <w:pStyle w:val="15"/>
        <w:ind w:left="780" w:leftChars="0"/>
        <w:rPr>
          <w:rFonts w:hint="default" w:ascii="HG丸ｺﾞｼｯｸM-PRO" w:hAnsi="HG丸ｺﾞｼｯｸM-PRO" w:eastAsia="HG丸ｺﾞｼｯｸM-PRO"/>
          <w:color w:val="000000"/>
          <w:kern w:val="0"/>
        </w:rPr>
      </w:pPr>
    </w:p>
    <w:p>
      <w:pPr>
        <w:pStyle w:val="3"/>
        <w:numPr>
          <w:ilvl w:val="2"/>
          <w:numId w:val="14"/>
        </w:numPr>
        <w:rPr>
          <w:rFonts w:hint="default"/>
          <w:color w:val="000000"/>
          <w:kern w:val="0"/>
        </w:rPr>
      </w:pPr>
      <w:r>
        <w:rPr>
          <w:rFonts w:hint="eastAsia"/>
          <w:color w:val="000000"/>
          <w:kern w:val="0"/>
        </w:rPr>
        <w:t>災害廃棄物処理計画の見直し</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本計画の実行性を高めるため、下記に該当する場合は、計画の見直しの必要性を検討し、適宜改定を行う。</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【本計画の見直しを行う場合】</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地域防災計画や被害想定が修正された場合</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関係法令（災害対策基本法、廃棄物処理法等）や関連計画、対策指針が改正された場合</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災害廃棄物処理の教訓や課題、対策事例等の情報を収集し、改善点が見られた場合</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教育・訓練を通じて、本計画の内容に改善点が見られた場合</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災害廃棄物処理に関する市町村間の協定や事業者との協定等の内容及び実効性を確認し、見直しが必要と判断された場合</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その他本計画の見直しが必要と判断された場合</w:t>
      </w:r>
    </w:p>
    <w:p>
      <w:pPr>
        <w:rPr>
          <w:rFonts w:hint="default" w:ascii="HG丸ｺﾞｼｯｸM-PRO" w:hAnsi="HG丸ｺﾞｼｯｸM-PRO" w:eastAsia="HG丸ｺﾞｼｯｸM-PRO"/>
        </w:rPr>
        <w:sectPr>
          <w:headerReference r:id="rId23" w:type="default"/>
          <w:footerReference r:id="rId24" w:type="default"/>
          <w:pgSz w:w="11906" w:h="16838"/>
          <w:pgMar w:top="1440" w:right="1080" w:bottom="1440" w:left="1080" w:header="851" w:footer="992" w:gutter="0"/>
          <w:cols w:space="720"/>
          <w:textDirection w:val="lrTb"/>
          <w:docGrid w:type="lines" w:linePitch="360"/>
        </w:sect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B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巻末資料</w:t>
            </w:r>
          </w:p>
        </w:tc>
      </w:tr>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資料１　災害廃棄物等の発生量の推計方法</w:t>
            </w:r>
          </w:p>
        </w:tc>
      </w:tr>
      <w:tr>
        <w:trPr>
          <w:trHeight w:val="422" w:hRule="atLeast"/>
        </w:trPr>
        <w:tc>
          <w:tcPr>
            <w:tcW w:w="9639" w:type="dxa"/>
            <w:shd w:val="clear" w:color="auto" w:themeFill="background1" w:themeFillTint="FF" w:themeFillShade="D9"/>
            <w:vAlign w:val="center"/>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１　損壊家屋等の撤去等に伴い生じる災害廃棄物の発生量の推計方法</w:t>
            </w:r>
          </w:p>
        </w:tc>
      </w:tr>
    </w:tbl>
    <w:p>
      <w:pPr>
        <w:pStyle w:val="3"/>
        <w:numPr>
          <w:ilvl w:val="2"/>
          <w:numId w:val="15"/>
        </w:numPr>
        <w:rPr>
          <w:rFonts w:hint="default"/>
        </w:rPr>
      </w:pPr>
      <w:r>
        <w:rPr>
          <w:rFonts w:hint="eastAsia"/>
        </w:rPr>
        <w:t>推計式</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①災害廃棄物発生量（トン）｜全体［全壊家屋］</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損壊家屋の単位面積当たりから排出される廃棄物量（トン／㎡）</w:t>
      </w:r>
    </w:p>
    <w:p>
      <w:pPr>
        <w:pStyle w:val="0"/>
        <w:ind w:firstLine="4200" w:firstLineChars="20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平均延床面積（㎡／棟）×</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解体棟数（棟）</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②災害廃棄物発生量（トン）｜全体［半壊家屋］</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損壊家屋の単位面積当たりから排出される廃棄物量（トン／㎡）</w:t>
      </w:r>
    </w:p>
    <w:p>
      <w:pPr>
        <w:pStyle w:val="0"/>
        <w:ind w:firstLine="4200" w:firstLineChars="20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平均延床面積（㎡／棟）×</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解体棟数（棟）×</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１／２</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③災害廃棄物発生量（トン）｜種類別</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災害廃棄物の種類別組成割合（％）</w:t>
      </w:r>
    </w:p>
    <w:p>
      <w:pPr>
        <w:pStyle w:val="0"/>
        <w:rPr>
          <w:rFonts w:hint="default"/>
        </w:rPr>
      </w:pPr>
    </w:p>
    <w:p>
      <w:pPr>
        <w:pStyle w:val="3"/>
        <w:numPr>
          <w:ilvl w:val="2"/>
          <w:numId w:val="16"/>
        </w:numPr>
        <w:rPr>
          <w:rFonts w:hint="default"/>
        </w:rPr>
      </w:pPr>
      <w:r>
        <w:rPr>
          <w:rFonts w:hint="eastAsia"/>
        </w:rPr>
        <w:t>設定数値</w:t>
      </w:r>
    </w:p>
    <w:p>
      <w:pPr>
        <w:pStyle w:val="0"/>
        <w:numPr>
          <w:ilvl w:val="2"/>
          <w:numId w:val="0"/>
        </w:numPr>
        <w:rPr>
          <w:rFonts w:hint="default" w:ascii="HG丸ｺﾞｼｯｸM-PRO" w:hAnsi="HG丸ｺﾞｼｯｸM-PRO" w:eastAsia="HG丸ｺﾞｼｯｸM-PRO"/>
        </w:rPr>
      </w:pPr>
      <w:r>
        <w:rPr>
          <w:rFonts w:hint="eastAsia"/>
        </w:rPr>
        <w:t>　</w:t>
      </w:r>
      <w:r>
        <w:rPr>
          <w:rFonts w:hint="eastAsia" w:ascii="HG丸ｺﾞｼｯｸM-PRO" w:hAnsi="HG丸ｺﾞｼｯｸM-PRO" w:eastAsia="HG丸ｺﾞｼｯｸM-PRO"/>
        </w:rPr>
        <w:t>○　損壊家屋棟数（単位：棟）</w:t>
      </w:r>
    </w:p>
    <w:tbl>
      <w:tblPr>
        <w:tblStyle w:val="11"/>
        <w:tblW w:w="6480" w:type="dxa"/>
        <w:jc w:val="center"/>
        <w:tblInd w:w="0" w:type="dxa"/>
        <w:tblLayout w:type="fixed"/>
        <w:tblCellMar>
          <w:left w:w="0" w:type="dxa"/>
          <w:right w:w="0" w:type="dxa"/>
        </w:tblCellMar>
        <w:tblLook w:firstRow="1" w:lastRow="0" w:firstColumn="1" w:lastColumn="0" w:noHBand="0" w:noVBand="1" w:val="04A0"/>
      </w:tblPr>
      <w:tblGrid>
        <w:gridCol w:w="1080"/>
        <w:gridCol w:w="1080"/>
        <w:gridCol w:w="1080"/>
        <w:gridCol w:w="1080"/>
        <w:gridCol w:w="1080"/>
        <w:gridCol w:w="1080"/>
      </w:tblGrid>
      <w:tr>
        <w:trPr>
          <w:trHeight w:val="450" w:hRule="atLeast"/>
        </w:trPr>
        <w:tc>
          <w:tcPr>
            <w:tcW w:w="2160" w:type="dxa"/>
            <w:gridSpan w:val="2"/>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全壊</w:t>
            </w:r>
          </w:p>
        </w:tc>
        <w:tc>
          <w:tcPr>
            <w:tcW w:w="2160"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半壊</w:t>
            </w:r>
          </w:p>
        </w:tc>
        <w:tc>
          <w:tcPr>
            <w:tcW w:w="2160"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焼失</w:t>
            </w:r>
          </w:p>
        </w:tc>
      </w:tr>
      <w:tr>
        <w:trPr>
          <w:trHeight w:val="450" w:hRule="atLeast"/>
        </w:trPr>
        <w:tc>
          <w:tcPr>
            <w:tcW w:w="108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木造</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2F2F2"/>
            <w:tcMar>
              <w:top w:w="0" w:type="dxa"/>
              <w:left w:w="5"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非木造</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2F2F2"/>
            <w:tcMar>
              <w:top w:w="0" w:type="dxa"/>
              <w:left w:w="5"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木造</w:t>
            </w:r>
          </w:p>
        </w:tc>
        <w:tc>
          <w:tcPr>
            <w:tcW w:w="1080"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非木造</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2F2F2"/>
            <w:tcMar>
              <w:top w:w="0" w:type="dxa"/>
              <w:left w:w="5"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木造</w:t>
            </w:r>
          </w:p>
        </w:tc>
        <w:tc>
          <w:tcPr>
            <w:tcW w:w="1080"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非木造</w:t>
            </w:r>
          </w:p>
        </w:tc>
      </w:tr>
      <w:tr>
        <w:trPr>
          <w:trHeight w:val="450" w:hRule="atLeast"/>
        </w:trPr>
        <w:tc>
          <w:tcPr>
            <w:tcW w:w="1080"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96</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3</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899</w:t>
            </w:r>
          </w:p>
        </w:tc>
        <w:tc>
          <w:tcPr>
            <w:tcW w:w="108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27</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0</w:t>
            </w:r>
          </w:p>
        </w:tc>
        <w:tc>
          <w:tcPr>
            <w:tcW w:w="108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0</w:t>
            </w:r>
          </w:p>
        </w:tc>
      </w:tr>
    </w:tbl>
    <w:p>
      <w:pPr>
        <w:pStyle w:val="0"/>
        <w:numPr>
          <w:ilvl w:val="2"/>
          <w:numId w:val="0"/>
        </w:numPr>
        <w:ind w:left="1575" w:leftChars="75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出典：「千葉県地震被害想定調査」（平成２６・２７年度、千葉県）</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発生原単位（損壊家屋の単位面積当たりから排出される廃棄物量）</w:t>
      </w:r>
    </w:p>
    <w:tbl>
      <w:tblPr>
        <w:tblStyle w:val="11"/>
        <w:tblW w:w="7845" w:type="dxa"/>
        <w:jc w:val="center"/>
        <w:tblInd w:w="0" w:type="dxa"/>
        <w:tblLayout w:type="fixed"/>
        <w:tblCellMar>
          <w:left w:w="0" w:type="dxa"/>
          <w:right w:w="0" w:type="dxa"/>
        </w:tblCellMar>
        <w:tblLook w:firstRow="1" w:lastRow="0" w:firstColumn="1" w:lastColumn="0" w:noHBand="0" w:noVBand="1" w:val="04A0"/>
      </w:tblPr>
      <w:tblGrid>
        <w:gridCol w:w="1078"/>
        <w:gridCol w:w="1078"/>
        <w:gridCol w:w="1078"/>
        <w:gridCol w:w="1078"/>
        <w:gridCol w:w="1078"/>
        <w:gridCol w:w="1078"/>
        <w:gridCol w:w="1377"/>
      </w:tblGrid>
      <w:tr>
        <w:trPr>
          <w:trHeight w:val="480" w:hRule="atLeast"/>
        </w:trPr>
        <w:tc>
          <w:tcPr>
            <w:tcW w:w="7560" w:type="dxa"/>
            <w:gridSpan w:val="7"/>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FFFFFF"/>
            <w:tcMar>
              <w:top w:w="0" w:type="dxa"/>
              <w:left w:w="0" w:type="dxa"/>
              <w:bottom w:w="0" w:type="dxa"/>
              <w:right w:w="0" w:type="dxa"/>
            </w:tcMar>
            <w:vAlign w:val="center"/>
          </w:tcPr>
          <w:p>
            <w:pPr>
              <w:pStyle w:val="0"/>
              <w:shd w:val="clear" w:color="auto" w:fill="FFFFFF"/>
              <w:jc w:val="right"/>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w:t>単位：トン／㎡</w:t>
            </w:r>
          </w:p>
        </w:tc>
      </w:tr>
      <w:tr>
        <w:trPr>
          <w:trHeight w:val="450" w:hRule="atLeast"/>
        </w:trPr>
        <w:tc>
          <w:tcPr>
            <w:tcW w:w="2160" w:type="dxa"/>
            <w:gridSpan w:val="2"/>
            <w:vMerge w:val="restart"/>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木造</w:t>
            </w:r>
          </w:p>
        </w:tc>
        <w:tc>
          <w:tcPr>
            <w:tcW w:w="4320" w:type="dxa"/>
            <w:gridSpan w:val="4"/>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非木造</w:t>
            </w:r>
          </w:p>
        </w:tc>
        <w:tc>
          <w:tcPr>
            <w:tcW w:w="1380" w:type="dxa"/>
            <w:vMerge w:val="restart"/>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火災による</w:t>
            </w:r>
            <w:r>
              <w:rPr>
                <w:rFonts w:hint="default" w:ascii="HG丸ｺﾞｼｯｸM-PRO" w:hAnsi="HG丸ｺﾞｼｯｸM-PRO" w:eastAsia="HG丸ｺﾞｼｯｸM-PRO"/>
                <w:sz w:val="22"/>
              </w:rPr>
              <w:br w:type="textWrapping" w:clear="none"/>
            </w:r>
            <w:r>
              <w:rPr>
                <w:rFonts w:hint="default" w:ascii="HG丸ｺﾞｼｯｸM-PRO" w:hAnsi="HG丸ｺﾞｼｯｸM-PRO" w:eastAsia="HG丸ｺﾞｼｯｸM-PRO"/>
                <w:sz w:val="22"/>
              </w:rPr>
              <w:t>焼失</w:t>
            </w:r>
          </w:p>
        </w:tc>
      </w:tr>
      <w:tr>
        <w:trPr>
          <w:trHeight w:val="450" w:hRule="atLeast"/>
        </w:trPr>
        <w:tc>
          <w:tcPr>
            <w:tcW w:w="2155" w:type="dxa"/>
            <w:gridSpan w:val="2"/>
            <w:vMerge w:val="continue"/>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HG丸ｺﾞｼｯｸM-PRO" w:hAnsi="HG丸ｺﾞｼｯｸM-PRO" w:eastAsia="HG丸ｺﾞｼｯｸM-PRO"/>
                <w:sz w:val="22"/>
              </w:rPr>
            </w:pPr>
          </w:p>
        </w:tc>
        <w:tc>
          <w:tcPr>
            <w:tcW w:w="2160"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RC</w:t>
            </w:r>
            <w:r>
              <w:rPr>
                <w:rFonts w:hint="default" w:ascii="HG丸ｺﾞｼｯｸM-PRO" w:hAnsi="HG丸ｺﾞｼｯｸM-PRO" w:eastAsia="HG丸ｺﾞｼｯｸM-PRO"/>
                <w:sz w:val="22"/>
              </w:rPr>
              <w:t>造</w:t>
            </w:r>
          </w:p>
        </w:tc>
        <w:tc>
          <w:tcPr>
            <w:tcW w:w="2160"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S</w:t>
            </w:r>
            <w:r>
              <w:rPr>
                <w:rFonts w:hint="default" w:ascii="HG丸ｺﾞｼｯｸM-PRO" w:hAnsi="HG丸ｺﾞｼｯｸM-PRO" w:eastAsia="HG丸ｺﾞｼｯｸM-PRO"/>
                <w:sz w:val="22"/>
              </w:rPr>
              <w:t>造</w:t>
            </w:r>
          </w:p>
        </w:tc>
        <w:tc>
          <w:tcPr>
            <w:tcW w:w="1381" w:type="dxa"/>
            <w:vMerge w:val="continue"/>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vAlign w:val="center"/>
          </w:tcPr>
          <w:p>
            <w:pPr>
              <w:pStyle w:val="0"/>
              <w:rPr>
                <w:rFonts w:hint="default" w:ascii="HG丸ｺﾞｼｯｸM-PRO" w:hAnsi="HG丸ｺﾞｼｯｸM-PRO" w:eastAsia="HG丸ｺﾞｼｯｸM-PRO"/>
                <w:sz w:val="22"/>
              </w:rPr>
            </w:pPr>
          </w:p>
        </w:tc>
      </w:tr>
      <w:tr>
        <w:trPr>
          <w:trHeight w:val="450" w:hRule="atLeast"/>
        </w:trPr>
        <w:tc>
          <w:tcPr>
            <w:tcW w:w="108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可燃</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2F2F2"/>
            <w:tcMar>
              <w:top w:w="0" w:type="dxa"/>
              <w:left w:w="5"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不燃</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2F2F2"/>
            <w:tcMar>
              <w:top w:w="0" w:type="dxa"/>
              <w:left w:w="5"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可燃</w:t>
            </w:r>
          </w:p>
        </w:tc>
        <w:tc>
          <w:tcPr>
            <w:tcW w:w="1080"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不燃</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2F2F2"/>
            <w:tcMar>
              <w:top w:w="0" w:type="dxa"/>
              <w:left w:w="5"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可燃</w:t>
            </w:r>
          </w:p>
        </w:tc>
        <w:tc>
          <w:tcPr>
            <w:tcW w:w="1080"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不燃</w:t>
            </w:r>
          </w:p>
        </w:tc>
        <w:tc>
          <w:tcPr>
            <w:tcW w:w="1381" w:type="dxa"/>
            <w:vMerge w:val="continue"/>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vAlign w:val="center"/>
          </w:tcPr>
          <w:p>
            <w:pPr>
              <w:pStyle w:val="0"/>
              <w:rPr>
                <w:rFonts w:hint="default" w:ascii="HG丸ｺﾞｼｯｸM-PRO" w:hAnsi="HG丸ｺﾞｼｯｸM-PRO" w:eastAsia="HG丸ｺﾞｼｯｸM-PRO"/>
                <w:sz w:val="22"/>
              </w:rPr>
            </w:pPr>
          </w:p>
        </w:tc>
      </w:tr>
      <w:tr>
        <w:trPr>
          <w:trHeight w:val="450" w:hRule="atLeast"/>
        </w:trPr>
        <w:tc>
          <w:tcPr>
            <w:tcW w:w="2160" w:type="dxa"/>
            <w:gridSpan w:val="2"/>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0.6</w:t>
            </w:r>
          </w:p>
        </w:tc>
        <w:tc>
          <w:tcPr>
            <w:tcW w:w="4320" w:type="dxa"/>
            <w:gridSpan w:val="4"/>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1.2</w:t>
            </w:r>
          </w:p>
        </w:tc>
        <w:tc>
          <w:tcPr>
            <w:tcW w:w="138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0.23</w:t>
            </w:r>
          </w:p>
        </w:tc>
      </w:tr>
    </w:tbl>
    <w:p>
      <w:pPr>
        <w:pStyle w:val="0"/>
        <w:numPr>
          <w:ilvl w:val="2"/>
          <w:numId w:val="0"/>
        </w:numPr>
        <w:ind w:left="945" w:leftChars="450"/>
        <w:rPr>
          <w:rFonts w:hint="default" w:ascii="HG丸ｺﾞｼｯｸM-PRO" w:hAnsi="HG丸ｺﾞｼｯｸM-PRO" w:eastAsia="HG丸ｺﾞｼｯｸM-PRO"/>
        </w:rPr>
      </w:pPr>
      <w:r>
        <w:rPr>
          <w:rFonts w:hint="eastAsia" w:ascii="HG丸ｺﾞｼｯｸM-PRO" w:hAnsi="HG丸ｺﾞｼｯｸM-PRO" w:eastAsia="HG丸ｺﾞｼｯｸM-PRO"/>
        </w:rPr>
        <w:t>出典：中央防災会議（平成１３年、内閣府）</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平均延床面積（Ｒ１年度）</w:t>
      </w:r>
    </w:p>
    <w:p>
      <w:pPr>
        <w:pStyle w:val="0"/>
        <w:numPr>
          <w:ilvl w:val="2"/>
          <w:numId w:val="0"/>
        </w:numPr>
        <w:ind w:left="1050" w:leftChars="500"/>
        <w:rPr>
          <w:rFonts w:hint="default" w:ascii="HG丸ｺﾞｼｯｸM-PRO" w:hAnsi="HG丸ｺﾞｼｯｸM-PRO" w:eastAsia="HG丸ｺﾞｼｯｸM-PRO"/>
        </w:rPr>
      </w:pPr>
      <w:r>
        <w:rPr>
          <w:rFonts w:hint="eastAsia" w:ascii="HG丸ｺﾞｼｯｸM-PRO" w:hAnsi="HG丸ｺﾞｼｯｸM-PRO" w:eastAsia="HG丸ｺﾞｼｯｸM-PRO"/>
        </w:rPr>
        <w:t>木造・・・９２．８５㎡　　　非木造・・・１５０．７０㎡</w:t>
      </w:r>
    </w:p>
    <w:p>
      <w:pPr>
        <w:pStyle w:val="0"/>
        <w:numPr>
          <w:ilvl w:val="2"/>
          <w:numId w:val="0"/>
        </w:numPr>
        <w:ind w:left="1050" w:leftChars="500"/>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rPr>
        <w:t>出典：「令和元年度（平成</w:t>
      </w:r>
      <w:r>
        <w:rPr>
          <w:rFonts w:hint="eastAsia" w:ascii="HG丸ｺﾞｼｯｸM-PRO" w:hAnsi="HG丸ｺﾞｼｯｸM-PRO" w:eastAsia="HG丸ｺﾞｼｯｸM-PRO"/>
        </w:rPr>
        <w:t>31</w:t>
      </w:r>
      <w:r>
        <w:rPr>
          <w:rFonts w:hint="eastAsia" w:ascii="HG丸ｺﾞｼｯｸM-PRO" w:hAnsi="HG丸ｺﾞｼｯｸM-PRO" w:eastAsia="HG丸ｺﾞｼｯｸM-PRO"/>
        </w:rPr>
        <w:t>年度）　固定資産の価格等の概要調書」（総務省）</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0"/>
        <w:numPr>
          <w:ilvl w:val="2"/>
          <w:numId w:val="0"/>
        </w:numPr>
        <w:rPr>
          <w:rFonts w:hint="default" w:ascii="HG丸ｺﾞｼｯｸM-PRO" w:hAnsi="HG丸ｺﾞｼｯｸM-PRO" w:eastAsia="HG丸ｺﾞｼｯｸM-PRO"/>
          <w:color w:val="0070C0"/>
        </w:rPr>
      </w:pPr>
      <w:r>
        <w:rPr>
          <w:rFonts w:hint="eastAsia" w:ascii="HG丸ｺﾞｼｯｸM-PRO" w:hAnsi="HG丸ｺﾞｼｯｸM-PRO" w:eastAsia="HG丸ｺﾞｼｯｸM-PRO"/>
        </w:rPr>
        <w:t>　○　種類別組成（平成２８年熊本地震モデル解体における災害廃棄物の組成）</w:t>
      </w:r>
    </w:p>
    <w:tbl>
      <w:tblPr>
        <w:tblStyle w:val="11"/>
        <w:tblW w:w="6435" w:type="dxa"/>
        <w:jc w:val="center"/>
        <w:tblInd w:w="0" w:type="dxa"/>
        <w:tblLayout w:type="fixed"/>
        <w:tblCellMar>
          <w:left w:w="0" w:type="dxa"/>
          <w:right w:w="0" w:type="dxa"/>
        </w:tblCellMar>
        <w:tblLook w:firstRow="1" w:lastRow="0" w:firstColumn="1" w:lastColumn="0" w:noHBand="0" w:noVBand="1" w:val="04A0"/>
      </w:tblPr>
      <w:tblGrid>
        <w:gridCol w:w="2119"/>
        <w:gridCol w:w="1079"/>
        <w:gridCol w:w="1079"/>
        <w:gridCol w:w="1079"/>
        <w:gridCol w:w="1079"/>
      </w:tblGrid>
      <w:tr>
        <w:trPr>
          <w:trHeight w:val="450" w:hRule="atLeast"/>
        </w:trPr>
        <w:tc>
          <w:tcPr>
            <w:tcW w:w="212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　</w:t>
            </w:r>
          </w:p>
        </w:tc>
        <w:tc>
          <w:tcPr>
            <w:tcW w:w="2160"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2F2F2"/>
            <w:tcMar>
              <w:top w:w="0" w:type="dxa"/>
              <w:left w:w="5"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木造</w:t>
            </w:r>
          </w:p>
        </w:tc>
        <w:tc>
          <w:tcPr>
            <w:tcW w:w="2160"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F2F2F2"/>
            <w:tcMar>
              <w:top w:w="0" w:type="dxa"/>
              <w:left w:w="5" w:type="dxa"/>
              <w:bottom w:w="0" w:type="dxa"/>
              <w:right w:w="0"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非木造</w:t>
            </w:r>
          </w:p>
        </w:tc>
      </w:tr>
      <w:tr>
        <w:trPr>
          <w:trHeight w:val="450" w:hRule="atLeast"/>
        </w:trPr>
        <w:tc>
          <w:tcPr>
            <w:tcW w:w="212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柱角材</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18%</w:t>
            </w:r>
          </w:p>
        </w:tc>
        <w:tc>
          <w:tcPr>
            <w:tcW w:w="10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0%</w:t>
            </w:r>
          </w:p>
        </w:tc>
        <w:tc>
          <w:tcPr>
            <w:tcW w:w="1080" w:type="dxa"/>
            <w:vMerge w:val="restart"/>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2%</w:t>
            </w:r>
          </w:p>
        </w:tc>
      </w:tr>
      <w:tr>
        <w:trPr>
          <w:trHeight w:val="450" w:hRule="atLeast"/>
        </w:trPr>
        <w:tc>
          <w:tcPr>
            <w:tcW w:w="212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可燃物</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w:t>
            </w:r>
          </w:p>
        </w:tc>
        <w:tc>
          <w:tcPr>
            <w:tcW w:w="1081"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HG丸ｺﾞｼｯｸM-PRO" w:hAnsi="HG丸ｺﾞｼｯｸM-PRO" w:eastAsia="HG丸ｺﾞｼｯｸM-PRO"/>
                <w:sz w:val="22"/>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2%</w:t>
            </w:r>
          </w:p>
        </w:tc>
        <w:tc>
          <w:tcPr>
            <w:tcW w:w="1076" w:type="dxa"/>
            <w:vMerge w:val="continue"/>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vAlign w:val="center"/>
          </w:tcPr>
          <w:p>
            <w:pPr>
              <w:pStyle w:val="0"/>
              <w:rPr>
                <w:rFonts w:hint="default" w:ascii="HG丸ｺﾞｼｯｸM-PRO" w:hAnsi="HG丸ｺﾞｼｯｸM-PRO" w:eastAsia="HG丸ｺﾞｼｯｸM-PRO"/>
                <w:sz w:val="22"/>
              </w:rPr>
            </w:pPr>
          </w:p>
        </w:tc>
      </w:tr>
      <w:tr>
        <w:trPr>
          <w:trHeight w:val="450" w:hRule="atLeast"/>
        </w:trPr>
        <w:tc>
          <w:tcPr>
            <w:tcW w:w="212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不燃物</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26%</w:t>
            </w:r>
          </w:p>
        </w:tc>
        <w:tc>
          <w:tcPr>
            <w:tcW w:w="10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81%</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0%</w:t>
            </w:r>
          </w:p>
        </w:tc>
        <w:tc>
          <w:tcPr>
            <w:tcW w:w="1080" w:type="dxa"/>
            <w:vMerge w:val="restart"/>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98%</w:t>
            </w:r>
          </w:p>
        </w:tc>
      </w:tr>
      <w:tr>
        <w:trPr>
          <w:trHeight w:val="450" w:hRule="atLeast"/>
        </w:trPr>
        <w:tc>
          <w:tcPr>
            <w:tcW w:w="212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コンクリートがら</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51%</w:t>
            </w:r>
          </w:p>
        </w:tc>
        <w:tc>
          <w:tcPr>
            <w:tcW w:w="1081"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HG丸ｺﾞｼｯｸM-PRO" w:hAnsi="HG丸ｺﾞｼｯｸM-PRO" w:eastAsia="HG丸ｺﾞｼｯｸM-PRO"/>
                <w:sz w:val="22"/>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93%</w:t>
            </w:r>
          </w:p>
        </w:tc>
        <w:tc>
          <w:tcPr>
            <w:tcW w:w="1076" w:type="dxa"/>
            <w:vMerge w:val="continue"/>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vAlign w:val="center"/>
          </w:tcPr>
          <w:p>
            <w:pPr>
              <w:pStyle w:val="0"/>
              <w:rPr>
                <w:rFonts w:hint="default" w:ascii="HG丸ｺﾞｼｯｸM-PRO" w:hAnsi="HG丸ｺﾞｼｯｸM-PRO" w:eastAsia="HG丸ｺﾞｼｯｸM-PRO"/>
                <w:sz w:val="22"/>
              </w:rPr>
            </w:pPr>
          </w:p>
        </w:tc>
      </w:tr>
      <w:tr>
        <w:trPr>
          <w:trHeight w:val="450" w:hRule="atLeast"/>
        </w:trPr>
        <w:tc>
          <w:tcPr>
            <w:tcW w:w="212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金属くず</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w:t>
            </w:r>
          </w:p>
        </w:tc>
        <w:tc>
          <w:tcPr>
            <w:tcW w:w="1081"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3%</w:t>
            </w:r>
          </w:p>
        </w:tc>
        <w:tc>
          <w:tcPr>
            <w:tcW w:w="1076" w:type="dxa"/>
            <w:vMerge w:val="continue"/>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vAlign w:val="center"/>
          </w:tcPr>
          <w:p>
            <w:pPr>
              <w:pStyle w:val="0"/>
              <w:rPr>
                <w:rFonts w:hint="default"/>
              </w:rPr>
            </w:pPr>
          </w:p>
        </w:tc>
      </w:tr>
      <w:tr>
        <w:trPr>
          <w:trHeight w:val="450" w:hRule="atLeast"/>
        </w:trPr>
        <w:tc>
          <w:tcPr>
            <w:tcW w:w="212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その他</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3%</w:t>
            </w:r>
          </w:p>
        </w:tc>
        <w:tc>
          <w:tcPr>
            <w:tcW w:w="1081"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jc w:val="center"/>
              <w:rPr>
                <w:rFonts w:hint="default" w:ascii="HG丸ｺﾞｼｯｸM-PRO" w:hAnsi="HG丸ｺﾞｼｯｸM-PRO" w:eastAsia="HG丸ｺﾞｼｯｸM-PRO"/>
                <w:sz w:val="22"/>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2%</w:t>
            </w:r>
          </w:p>
        </w:tc>
        <w:tc>
          <w:tcPr>
            <w:tcW w:w="1076" w:type="dxa"/>
            <w:vMerge w:val="continue"/>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vAlign w:val="center"/>
          </w:tcPr>
          <w:p>
            <w:pPr>
              <w:pStyle w:val="0"/>
              <w:jc w:val="center"/>
              <w:rPr>
                <w:rFonts w:hint="default" w:ascii="HG丸ｺﾞｼｯｸM-PRO" w:hAnsi="HG丸ｺﾞｼｯｸM-PRO" w:eastAsia="HG丸ｺﾞｼｯｸM-PRO"/>
                <w:sz w:val="22"/>
              </w:rPr>
            </w:pPr>
          </w:p>
        </w:tc>
      </w:tr>
      <w:tr>
        <w:trPr>
          <w:trHeight w:val="450" w:hRule="atLeast"/>
        </w:trPr>
        <w:tc>
          <w:tcPr>
            <w:tcW w:w="2120"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F2F2F2"/>
            <w:tcMar>
              <w:top w:w="0" w:type="dxa"/>
              <w:left w:w="0" w:type="dxa"/>
              <w:bottom w:w="0" w:type="dxa"/>
              <w:right w:w="5" w:type="dxa"/>
            </w:tcMar>
            <w:vAlign w:val="center"/>
          </w:tcPr>
          <w:p>
            <w:pPr>
              <w:pStyle w:val="0"/>
              <w:shd w:val="clear" w:color="auto" w:fill="F2F2F2"/>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合計</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100%</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100%</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100%</w:t>
            </w:r>
          </w:p>
        </w:tc>
        <w:tc>
          <w:tcPr>
            <w:tcW w:w="1080"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100%</w:t>
            </w:r>
          </w:p>
        </w:tc>
      </w:tr>
    </w:tbl>
    <w:p>
      <w:pPr>
        <w:pStyle w:val="0"/>
        <w:numPr>
          <w:ilvl w:val="2"/>
          <w:numId w:val="0"/>
        </w:numPr>
        <w:ind w:left="420" w:leftChars="200"/>
        <w:rPr>
          <w:rFonts w:hint="default" w:ascii="HG丸ｺﾞｼｯｸM-PRO" w:hAnsi="HG丸ｺﾞｼｯｸM-PRO" w:eastAsia="HG丸ｺﾞｼｯｸM-PRO"/>
        </w:rPr>
      </w:pPr>
      <w:r>
        <w:rPr>
          <w:rFonts w:hint="eastAsia" w:ascii="HG丸ｺﾞｼｯｸM-PRO" w:hAnsi="HG丸ｺﾞｼｯｸM-PRO" w:eastAsia="HG丸ｺﾞｼｯｸM-PRO"/>
        </w:rPr>
        <w:t>出典：「災害廃棄物発生原単位」（平成３０年３月６日、第２回　平成２９年度災害廃棄物対策推進検討会　資料１－１（別添））</w:t>
      </w:r>
    </w:p>
    <w:p>
      <w:pPr>
        <w:pStyle w:val="0"/>
        <w:numPr>
          <w:ilvl w:val="2"/>
          <w:numId w:val="0"/>
        </w:numPr>
        <w:ind w:left="1680" w:leftChars="800"/>
        <w:rPr>
          <w:rFonts w:hint="default" w:ascii="HG丸ｺﾞｼｯｸM-PRO" w:hAnsi="HG丸ｺﾞｼｯｸM-PRO" w:eastAsia="HG丸ｺﾞｼｯｸM-PRO"/>
          <w:color w:val="0070C0"/>
        </w:rPr>
      </w:pPr>
    </w:p>
    <w:p>
      <w:pPr>
        <w:pStyle w:val="3"/>
        <w:numPr>
          <w:ilvl w:val="2"/>
          <w:numId w:val="16"/>
        </w:numPr>
        <w:rPr>
          <w:rFonts w:hint="default"/>
        </w:rPr>
      </w:pPr>
      <w:r>
        <w:rPr>
          <w:rFonts w:hint="eastAsia"/>
        </w:rPr>
        <w:t>推計結果</w:t>
      </w:r>
    </w:p>
    <w:p>
      <w:pPr>
        <w:pStyle w:val="15"/>
        <w:numPr>
          <w:ilvl w:val="0"/>
          <w:numId w:val="4"/>
        </w:numPr>
        <w:ind w:leftChars="0"/>
        <w:rPr>
          <w:rFonts w:hint="default" w:ascii="HG丸ｺﾞｼｯｸM-PRO" w:hAnsi="HG丸ｺﾞｼｯｸM-PRO" w:eastAsia="HG丸ｺﾞｼｯｸM-PRO"/>
        </w:rPr>
      </w:pPr>
      <w:bookmarkStart w:id="5" w:name="_Toc528746053"/>
      <w:r>
        <w:rPr>
          <w:rFonts w:hint="eastAsia" w:ascii="HG丸ｺﾞｼｯｸM-PRO" w:hAnsi="HG丸ｺﾞｼｯｸM-PRO" w:eastAsia="HG丸ｺﾞｼｯｸM-PRO"/>
          <w:kern w:val="0"/>
        </w:rPr>
        <w:t>損</w:t>
      </w:r>
      <w:r>
        <w:rPr>
          <w:rFonts w:hint="eastAsia" w:ascii="HG丸ｺﾞｼｯｸM-PRO" w:hAnsi="HG丸ｺﾞｼｯｸM-PRO" w:eastAsia="HG丸ｺﾞｼｯｸM-PRO"/>
        </w:rPr>
        <w:t>壊家屋等の撤去等に伴い生じる廃棄物が約３３，３７３ト</w:t>
      </w:r>
      <w:bookmarkStart w:id="6" w:name="_Toc528746052"/>
      <w:bookmarkEnd w:id="6"/>
      <w:r>
        <w:rPr>
          <w:rFonts w:hint="eastAsia" w:ascii="HG丸ｺﾞｼｯｸM-PRO" w:hAnsi="HG丸ｺﾞｼｯｸM-PRO" w:eastAsia="HG丸ｺﾞｼｯｸM-PRO"/>
        </w:rPr>
        <w:t>ン発生する。これは平時の一般廃棄物排出量（約１２，７０４トン）の約２．６年分（平成３０年度比）となる。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「不燃物」の発生量は約７，９０１トンであり、平時の不燃物排出量（約４４３トン）の約１７．８年分（平成３０年度比）となるため、最終処分場等の処理先が逼迫することが想定される。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「コンクリートがら」は市内全域で約１８，２７４トン発生するため、再生利用及び処理が課題となる。</w:t>
      </w:r>
    </w:p>
    <w:p>
      <w:pPr>
        <w:pStyle w:val="0"/>
        <w:rPr>
          <w:rFonts w:hint="default" w:ascii="HG丸ｺﾞｼｯｸM-PRO" w:hAnsi="HG丸ｺﾞｼｯｸM-PRO" w:eastAsia="HG丸ｺﾞｼｯｸM-PRO"/>
        </w:rPr>
      </w:pPr>
      <w:bookmarkEnd w:id="5"/>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巻末図表１　災害廃棄物の発生量の推計結果</w:t>
            </w:r>
          </w:p>
        </w:tc>
      </w:tr>
    </w:tbl>
    <w:p>
      <w:pPr>
        <w:pStyle w:val="0"/>
        <w:ind w:right="672" w:rightChars="32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単位：トン</w:t>
      </w:r>
    </w:p>
    <w:tbl>
      <w:tblPr>
        <w:tblStyle w:val="11"/>
        <w:tblW w:w="4985" w:type="pct"/>
        <w:jc w:val="center"/>
        <w:tblInd w:w="0" w:type="dxa"/>
        <w:tblBorders>
          <w:top w:val="single" w:color="auto" w:sz="4" w:space="0"/>
          <w:bottom w:val="single" w:color="auto" w:sz="4" w:space="0"/>
          <w:insideH w:val="single" w:color="auto" w:sz="4" w:space="0"/>
          <w:insideV w:val="single" w:color="auto" w:sz="4" w:space="0"/>
        </w:tblBorders>
        <w:tblLayout w:type="fixed"/>
        <w:tblLook w:firstRow="1" w:lastRow="0" w:firstColumn="1" w:lastColumn="0" w:noHBand="0" w:noVBand="1" w:val="04A0"/>
      </w:tblPr>
      <w:tblGrid>
        <w:gridCol w:w="1446"/>
        <w:gridCol w:w="1380"/>
        <w:gridCol w:w="1637"/>
        <w:gridCol w:w="1316"/>
        <w:gridCol w:w="1443"/>
        <w:gridCol w:w="1443"/>
        <w:gridCol w:w="1443"/>
      </w:tblGrid>
      <w:tr>
        <w:trPr/>
        <w:tc>
          <w:tcPr>
            <w:tcW w:w="715" w:type="pct"/>
            <w:shd w:val="clear" w:color="auto" w:themeFill="background2" w:themeFillTint="FF" w:themeFillShade="FF"/>
            <w:tcMar>
              <w:top w:w="28" w:type="dxa"/>
              <w:bottom w:w="28" w:type="dxa"/>
              <w:right w:w="284" w:type="dxa"/>
            </w:tcMar>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可燃物</w:t>
            </w:r>
          </w:p>
        </w:tc>
        <w:tc>
          <w:tcPr>
            <w:tcW w:w="682" w:type="pct"/>
            <w:shd w:val="clear" w:color="auto" w:themeFill="background2" w:themeFillTint="FF" w:themeFillShade="FF"/>
            <w:tcMar>
              <w:top w:w="28" w:type="dxa"/>
              <w:bottom w:w="28" w:type="dxa"/>
              <w:right w:w="284" w:type="dxa"/>
            </w:tcMar>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不燃物</w:t>
            </w:r>
          </w:p>
        </w:tc>
        <w:tc>
          <w:tcPr>
            <w:tcW w:w="810" w:type="pct"/>
            <w:shd w:val="clear" w:color="auto" w:themeFill="background2" w:themeFillTint="FF" w:themeFillShade="FF"/>
            <w:tcMar>
              <w:top w:w="28" w:type="dxa"/>
              <w:left w:w="28" w:type="dxa"/>
              <w:bottom w:w="28" w:type="dxa"/>
              <w:right w:w="284" w:type="dxa"/>
            </w:tcMar>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コンクリートがら</w:t>
            </w:r>
          </w:p>
        </w:tc>
        <w:tc>
          <w:tcPr>
            <w:tcW w:w="651" w:type="pct"/>
            <w:shd w:val="clear" w:color="auto" w:themeFill="background2" w:themeFillTint="FF" w:themeFillShade="FF"/>
            <w:tcMar>
              <w:top w:w="28" w:type="dxa"/>
              <w:bottom w:w="28" w:type="dxa"/>
              <w:right w:w="284" w:type="dxa"/>
            </w:tcMar>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金属</w:t>
            </w:r>
          </w:p>
        </w:tc>
        <w:tc>
          <w:tcPr>
            <w:tcW w:w="714" w:type="pct"/>
            <w:shd w:val="clear" w:color="auto" w:themeFill="background2" w:themeFillTint="FF" w:themeFillShade="FF"/>
            <w:tcMar>
              <w:top w:w="28" w:type="dxa"/>
              <w:bottom w:w="28" w:type="dxa"/>
              <w:right w:w="284" w:type="dxa"/>
            </w:tcMar>
            <w:vAlign w:val="center"/>
          </w:tcPr>
          <w:p>
            <w:pPr>
              <w:pStyle w:val="0"/>
              <w:jc w:val="center"/>
              <w:rPr>
                <w:rFonts w:hint="default"/>
              </w:rPr>
            </w:pPr>
            <w:r>
              <w:rPr>
                <w:rFonts w:hint="eastAsia" w:ascii="HG丸ｺﾞｼｯｸM-PRO" w:hAnsi="HG丸ｺﾞｼｯｸM-PRO" w:eastAsia="HG丸ｺﾞｼｯｸM-PRO"/>
              </w:rPr>
              <w:t>柱角材</w:t>
            </w:r>
          </w:p>
        </w:tc>
        <w:tc>
          <w:tcPr>
            <w:tcW w:w="714" w:type="pct"/>
            <w:shd w:val="clear" w:color="auto" w:themeFill="background2" w:themeFillTint="FF" w:themeFillShade="FF"/>
            <w:tcMar>
              <w:top w:w="28" w:type="dxa"/>
              <w:bottom w:w="28" w:type="dxa"/>
              <w:right w:w="284" w:type="dxa"/>
            </w:tcMar>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その他</w:t>
            </w:r>
          </w:p>
        </w:tc>
        <w:tc>
          <w:tcPr>
            <w:tcW w:w="714" w:type="pct"/>
            <w:shd w:val="clear" w:color="auto" w:themeFill="background2" w:themeFillTint="FF" w:themeFillShade="FF"/>
            <w:tcMar>
              <w:right w:w="284" w:type="dxa"/>
            </w:tcMar>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合　計</w:t>
            </w:r>
          </w:p>
        </w:tc>
      </w:tr>
      <w:tr>
        <w:trPr/>
        <w:tc>
          <w:tcPr>
            <w:tcW w:w="715" w:type="pct"/>
            <w:shd w:val="clear" w:color="auto" w:fill="auto"/>
            <w:tcMar>
              <w:top w:w="57" w:type="dxa"/>
              <w:bottom w:w="57" w:type="dxa"/>
              <w:right w:w="284" w:type="dxa"/>
            </w:tcMar>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364</w:t>
            </w:r>
          </w:p>
        </w:tc>
        <w:tc>
          <w:tcPr>
            <w:tcW w:w="682" w:type="pct"/>
            <w:shd w:val="clear" w:color="auto" w:fill="auto"/>
            <w:tcMar>
              <w:top w:w="57" w:type="dxa"/>
              <w:bottom w:w="57" w:type="dxa"/>
              <w:right w:w="284" w:type="dxa"/>
            </w:tcMar>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7,901</w:t>
            </w:r>
          </w:p>
        </w:tc>
        <w:tc>
          <w:tcPr>
            <w:tcW w:w="810" w:type="pct"/>
            <w:shd w:val="clear" w:color="auto" w:fill="auto"/>
            <w:tcMar>
              <w:top w:w="57" w:type="dxa"/>
              <w:bottom w:w="57" w:type="dxa"/>
              <w:right w:w="284" w:type="dxa"/>
            </w:tcMar>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18,274</w:t>
            </w:r>
          </w:p>
        </w:tc>
        <w:tc>
          <w:tcPr>
            <w:tcW w:w="651" w:type="pct"/>
            <w:shd w:val="clear" w:color="auto" w:fill="auto"/>
            <w:tcMar>
              <w:top w:w="57" w:type="dxa"/>
              <w:bottom w:w="57" w:type="dxa"/>
              <w:right w:w="284" w:type="dxa"/>
            </w:tcMar>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393</w:t>
            </w:r>
          </w:p>
        </w:tc>
        <w:tc>
          <w:tcPr>
            <w:tcW w:w="714" w:type="pct"/>
            <w:shd w:val="clear" w:color="auto" w:fill="auto"/>
            <w:tcMar>
              <w:top w:w="57" w:type="dxa"/>
              <w:bottom w:w="57" w:type="dxa"/>
              <w:right w:w="284" w:type="dxa"/>
            </w:tcMar>
            <w:vAlign w:val="top"/>
          </w:tcPr>
          <w:p>
            <w:pPr>
              <w:pStyle w:val="0"/>
              <w:jc w:val="center"/>
              <w:rPr>
                <w:rFonts w:hint="default"/>
              </w:rPr>
            </w:pPr>
            <w:r>
              <w:rPr>
                <w:rFonts w:hint="eastAsia" w:ascii="HG丸ｺﾞｼｯｸM-PRO" w:hAnsi="HG丸ｺﾞｼｯｸM-PRO" w:eastAsia="HG丸ｺﾞｼｯｸM-PRO"/>
              </w:rPr>
              <w:t>5,470</w:t>
            </w:r>
          </w:p>
        </w:tc>
        <w:tc>
          <w:tcPr>
            <w:tcW w:w="714" w:type="pct"/>
            <w:shd w:val="clear" w:color="auto" w:fill="auto"/>
            <w:tcMar>
              <w:top w:w="57" w:type="dxa"/>
              <w:bottom w:w="57" w:type="dxa"/>
              <w:right w:w="284" w:type="dxa"/>
            </w:tcMar>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971</w:t>
            </w:r>
          </w:p>
        </w:tc>
        <w:tc>
          <w:tcPr>
            <w:tcW w:w="714" w:type="pct"/>
            <w:tcMar>
              <w:right w:w="284" w:type="dxa"/>
            </w:tcMar>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33,373</w:t>
            </w:r>
          </w:p>
        </w:tc>
      </w:tr>
    </w:tbl>
    <w:p>
      <w:pPr>
        <w:pStyle w:val="0"/>
        <w:rPr>
          <w:rFonts w:hint="default"/>
        </w:rPr>
      </w:pPr>
    </w:p>
    <w:p>
      <w:pPr>
        <w:pStyle w:val="0"/>
        <w:widowControl w:val="1"/>
        <w:jc w:val="left"/>
        <w:rPr>
          <w:rFonts w:hint="default"/>
        </w:rPr>
      </w:pPr>
      <w:r>
        <w:rPr>
          <w:rFonts w:hint="default"/>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２　片付けごみの発生量の推計方法</w:t>
            </w:r>
          </w:p>
        </w:tc>
      </w:tr>
    </w:tbl>
    <w:p>
      <w:pPr>
        <w:pStyle w:val="3"/>
        <w:numPr>
          <w:ilvl w:val="2"/>
          <w:numId w:val="17"/>
        </w:numPr>
        <w:rPr>
          <w:rFonts w:hint="default"/>
        </w:rPr>
      </w:pPr>
      <w:r>
        <w:rPr>
          <w:rFonts w:hint="eastAsia"/>
        </w:rPr>
        <w:t>推計式</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片付けごみの発生量（トン）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災害廃棄物の発生量</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片付けごみの割合（％）</w:t>
      </w:r>
    </w:p>
    <w:p>
      <w:pPr>
        <w:pStyle w:val="0"/>
        <w:rPr>
          <w:rFonts w:hint="default"/>
        </w:rPr>
      </w:pPr>
    </w:p>
    <w:p>
      <w:pPr>
        <w:pStyle w:val="3"/>
        <w:numPr>
          <w:ilvl w:val="2"/>
          <w:numId w:val="18"/>
        </w:numPr>
        <w:rPr>
          <w:rFonts w:hint="default"/>
        </w:rPr>
      </w:pPr>
      <w:r>
        <w:rPr>
          <w:rFonts w:hint="eastAsia"/>
        </w:rPr>
        <w:t>設定数値</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片付けごみの割合</w:t>
      </w:r>
    </w:p>
    <w:p>
      <w:pPr>
        <w:pStyle w:val="0"/>
        <w:numPr>
          <w:ilvl w:val="2"/>
          <w:numId w:val="0"/>
        </w:numPr>
        <w:ind w:left="210" w:leftChars="100" w:firstLine="210" w:firstLineChars="100"/>
        <w:rPr>
          <w:rFonts w:hint="default"/>
        </w:rPr>
      </w:pPr>
      <w:r>
        <w:rPr>
          <w:rFonts w:hint="eastAsia" w:ascii="HG丸ｺﾞｼｯｸM-PRO" w:hAnsi="HG丸ｺﾞｼｯｸM-PRO" w:eastAsia="HG丸ｺﾞｼｯｸM-PRO"/>
        </w:rPr>
        <w:t>「熊本地震における被害の実態及び災害廃棄物処理の現状と課題」（平成２９年７月２６日、熊本県）に掲載されている情報（下表）を参考とし、片付けごみの割合を１５％と設定。</w:t>
      </w:r>
    </w:p>
    <w:p>
      <w:pPr>
        <w:pStyle w:val="0"/>
        <w:numPr>
          <w:ilvl w:val="2"/>
          <w:numId w:val="0"/>
        </w:numPr>
        <w:rPr>
          <w:rFonts w:hint="default"/>
          <w:color w:val="FF0000"/>
          <w:highlight w:val="yellow"/>
        </w:rPr>
      </w:pPr>
    </w:p>
    <w:tbl>
      <w:tblPr>
        <w:tblStyle w:val="11"/>
        <w:tblW w:w="9420" w:type="dxa"/>
        <w:tblInd w:w="84" w:type="dxa"/>
        <w:tblLayout w:type="fixed"/>
        <w:tblCellMar>
          <w:left w:w="99" w:type="dxa"/>
          <w:right w:w="99" w:type="dxa"/>
        </w:tblCellMar>
        <w:tblLook w:firstRow="1" w:lastRow="0" w:firstColumn="1" w:lastColumn="0" w:noHBand="0" w:noVBand="1" w:val="04A0"/>
      </w:tblPr>
      <w:tblGrid>
        <w:gridCol w:w="1420"/>
        <w:gridCol w:w="1000"/>
        <w:gridCol w:w="1000"/>
        <w:gridCol w:w="1000"/>
        <w:gridCol w:w="1000"/>
        <w:gridCol w:w="1000"/>
        <w:gridCol w:w="1000"/>
        <w:gridCol w:w="1000"/>
        <w:gridCol w:w="1000"/>
      </w:tblGrid>
      <w:tr>
        <w:trPr>
          <w:trHeight w:val="375" w:hRule="atLeast"/>
        </w:trPr>
        <w:tc>
          <w:tcPr>
            <w:tcW w:w="1420" w:type="dxa"/>
            <w:vMerge w:val="restart"/>
            <w:tcBorders>
              <w:top w:val="single" w:color="auto" w:sz="4" w:space="0"/>
              <w:left w:val="nil"/>
              <w:bottom w:val="single" w:color="000000"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　</w:t>
            </w:r>
          </w:p>
        </w:tc>
        <w:tc>
          <w:tcPr>
            <w:tcW w:w="1000"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処理実績</w:t>
            </w:r>
            <w:r>
              <w:rPr>
                <w:rFonts w:hint="eastAsia" w:ascii="HG丸ｺﾞｼｯｸM-PRO" w:hAnsi="HG丸ｺﾞｼｯｸM-PRO" w:eastAsia="HG丸ｺﾞｼｯｸM-PRO"/>
                <w:color w:val="000000"/>
                <w:kern w:val="0"/>
                <w:sz w:val="17"/>
              </w:rPr>
              <w:br w:type="textWrapping" w:clear="none"/>
            </w:r>
            <w:r>
              <w:rPr>
                <w:rFonts w:hint="eastAsia" w:ascii="HG丸ｺﾞｼｯｸM-PRO" w:hAnsi="HG丸ｺﾞｼｯｸM-PRO" w:eastAsia="HG丸ｺﾞｼｯｸM-PRO"/>
                <w:color w:val="000000"/>
                <w:kern w:val="0"/>
                <w:sz w:val="17"/>
              </w:rPr>
              <w:t>又は発生推計量</w:t>
            </w:r>
          </w:p>
        </w:tc>
        <w:tc>
          <w:tcPr>
            <w:tcW w:w="1000"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コンクリートがら</w:t>
            </w:r>
          </w:p>
        </w:tc>
        <w:tc>
          <w:tcPr>
            <w:tcW w:w="1000"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木くず</w:t>
            </w:r>
          </w:p>
        </w:tc>
        <w:tc>
          <w:tcPr>
            <w:tcW w:w="1000"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金属くず</w:t>
            </w:r>
          </w:p>
        </w:tc>
        <w:tc>
          <w:tcPr>
            <w:tcW w:w="4000" w:type="dxa"/>
            <w:gridSpan w:val="4"/>
            <w:tcBorders>
              <w:top w:val="single" w:color="auto" w:sz="4" w:space="0"/>
              <w:left w:val="nil"/>
              <w:bottom w:val="single" w:color="auto" w:sz="4" w:space="0"/>
              <w:right w:val="nil"/>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その他（建材等）</w:t>
            </w:r>
          </w:p>
        </w:tc>
      </w:tr>
      <w:tr>
        <w:trPr>
          <w:trHeight w:val="420" w:hRule="atLeast"/>
        </w:trPr>
        <w:tc>
          <w:tcPr>
            <w:tcW w:w="1420" w:type="dxa"/>
            <w:vMerge w:val="continue"/>
            <w:tcBorders>
              <w:top w:val="single" w:color="auto" w:sz="4" w:space="0"/>
              <w:left w:val="nil"/>
              <w:bottom w:val="single" w:color="000000"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7"/>
              </w:rPr>
            </w:pPr>
          </w:p>
        </w:tc>
        <w:tc>
          <w:tcPr>
            <w:tcW w:w="1000"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7"/>
              </w:rPr>
            </w:pPr>
          </w:p>
        </w:tc>
        <w:tc>
          <w:tcPr>
            <w:tcW w:w="1000"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7"/>
              </w:rPr>
            </w:pPr>
          </w:p>
        </w:tc>
        <w:tc>
          <w:tcPr>
            <w:tcW w:w="1000"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7"/>
              </w:rPr>
            </w:pPr>
          </w:p>
        </w:tc>
        <w:tc>
          <w:tcPr>
            <w:tcW w:w="1000"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7"/>
              </w:rPr>
            </w:pPr>
          </w:p>
        </w:tc>
        <w:tc>
          <w:tcPr>
            <w:tcW w:w="1000" w:type="dxa"/>
            <w:tcBorders>
              <w:top w:val="nil"/>
              <w:left w:val="nil"/>
              <w:bottom w:val="single" w:color="auto" w:sz="4" w:space="0"/>
              <w:right w:val="nil"/>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混合廃棄物（埋立）</w:t>
            </w:r>
          </w:p>
        </w:tc>
        <w:tc>
          <w:tcPr>
            <w:tcW w:w="1000" w:type="dxa"/>
            <w:tcBorders>
              <w:top w:val="nil"/>
              <w:left w:val="single" w:color="auto" w:sz="4" w:space="0"/>
              <w:bottom w:val="single" w:color="auto" w:sz="4" w:space="0"/>
              <w:right w:val="nil"/>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可燃物</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瓦類等</w:t>
            </w:r>
          </w:p>
        </w:tc>
        <w:tc>
          <w:tcPr>
            <w:tcW w:w="1000" w:type="dxa"/>
            <w:tcBorders>
              <w:top w:val="nil"/>
              <w:left w:val="nil"/>
              <w:bottom w:val="single" w:color="auto" w:sz="4" w:space="0"/>
              <w:right w:val="nil"/>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その他</w:t>
            </w:r>
          </w:p>
        </w:tc>
      </w:tr>
      <w:tr>
        <w:trPr>
          <w:trHeight w:val="630" w:hRule="atLeast"/>
        </w:trPr>
        <w:tc>
          <w:tcPr>
            <w:tcW w:w="142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H28.4</w:t>
            </w:r>
            <w:r>
              <w:rPr>
                <w:rFonts w:hint="eastAsia" w:ascii="HG丸ｺﾞｼｯｸM-PRO" w:hAnsi="HG丸ｺﾞｼｯｸM-PRO" w:eastAsia="HG丸ｺﾞｼｯｸM-PRO"/>
                <w:color w:val="000000"/>
                <w:kern w:val="0"/>
                <w:sz w:val="17"/>
              </w:rPr>
              <w:t>～</w:t>
            </w:r>
            <w:r>
              <w:rPr>
                <w:rFonts w:hint="eastAsia" w:ascii="HG丸ｺﾞｼｯｸM-PRO" w:hAnsi="HG丸ｺﾞｼｯｸM-PRO" w:eastAsia="HG丸ｺﾞｼｯｸM-PRO"/>
                <w:color w:val="000000"/>
                <w:kern w:val="0"/>
                <w:sz w:val="17"/>
              </w:rPr>
              <w:t>H28.8</w:t>
            </w:r>
            <w:r>
              <w:rPr>
                <w:rFonts w:hint="eastAsia" w:ascii="HG丸ｺﾞｼｯｸM-PRO" w:hAnsi="HG丸ｺﾞｼｯｸM-PRO" w:eastAsia="HG丸ｺﾞｼｯｸM-PRO"/>
                <w:color w:val="000000"/>
                <w:kern w:val="0"/>
                <w:sz w:val="17"/>
              </w:rPr>
              <w:br w:type="textWrapping" w:clear="none"/>
            </w:r>
            <w:r>
              <w:rPr>
                <w:rFonts w:hint="eastAsia" w:ascii="HG丸ｺﾞｼｯｸM-PRO" w:hAnsi="HG丸ｺﾞｼｯｸM-PRO" w:eastAsia="HG丸ｺﾞｼｯｸM-PRO"/>
                <w:color w:val="000000"/>
                <w:kern w:val="0"/>
                <w:sz w:val="17"/>
              </w:rPr>
              <w:t>処理実績</w:t>
            </w:r>
            <w:r>
              <w:rPr>
                <w:rFonts w:hint="eastAsia" w:ascii="HG丸ｺﾞｼｯｸM-PRO" w:hAnsi="HG丸ｺﾞｼｯｸM-PRO" w:eastAsia="HG丸ｺﾞｼｯｸM-PRO"/>
                <w:color w:val="000000"/>
                <w:kern w:val="0"/>
                <w:sz w:val="17"/>
              </w:rPr>
              <w:br w:type="textWrapping" w:clear="none"/>
            </w:r>
            <w:r>
              <w:rPr>
                <w:rFonts w:hint="eastAsia" w:ascii="HG丸ｺﾞｼｯｸM-PRO" w:hAnsi="HG丸ｺﾞｼｯｸM-PRO" w:eastAsia="HG丸ｺﾞｼｯｸM-PRO"/>
                <w:color w:val="000000"/>
                <w:kern w:val="0"/>
                <w:sz w:val="17"/>
              </w:rPr>
              <w:t>（千トン）</w:t>
            </w:r>
          </w:p>
        </w:tc>
        <w:tc>
          <w:tcPr>
            <w:tcW w:w="1000" w:type="dxa"/>
            <w:tcBorders>
              <w:top w:val="nil"/>
              <w:left w:val="nil"/>
              <w:bottom w:val="dotted" w:color="auto" w:sz="4" w:space="0"/>
              <w:right w:val="single" w:color="auto" w:sz="4" w:space="0"/>
              <w:tl2br w:val="none" w:color="auto" w:sz="0" w:space="0"/>
              <w:tr2bl w:val="none" w:color="auto" w:sz="0" w:space="0"/>
            </w:tcBorders>
            <w:shd w:val="clear" w:color="auto" w:themeFill="accent4" w:themeFillTint="66" w:themeFillShade="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471</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137</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45</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w:t>
            </w:r>
          </w:p>
        </w:tc>
        <w:tc>
          <w:tcPr>
            <w:tcW w:w="1000" w:type="dxa"/>
            <w:tcBorders>
              <w:top w:val="nil"/>
              <w:left w:val="nil"/>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153</w:t>
            </w:r>
          </w:p>
        </w:tc>
        <w:tc>
          <w:tcPr>
            <w:tcW w:w="1000" w:type="dxa"/>
            <w:tcBorders>
              <w:top w:val="nil"/>
              <w:left w:val="single" w:color="auto" w:sz="4" w:space="0"/>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68</w:t>
            </w:r>
          </w:p>
        </w:tc>
        <w:tc>
          <w:tcPr>
            <w:tcW w:w="1000" w:type="dxa"/>
            <w:tcBorders>
              <w:top w:val="nil"/>
              <w:left w:val="single" w:color="auto" w:sz="4" w:space="0"/>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45</w:t>
            </w:r>
          </w:p>
        </w:tc>
        <w:tc>
          <w:tcPr>
            <w:tcW w:w="1000" w:type="dxa"/>
            <w:tcBorders>
              <w:top w:val="nil"/>
              <w:left w:val="nil"/>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18</w:t>
            </w:r>
          </w:p>
        </w:tc>
      </w:tr>
      <w:tr>
        <w:trPr>
          <w:trHeight w:val="375" w:hRule="atLeast"/>
        </w:trPr>
        <w:tc>
          <w:tcPr>
            <w:tcW w:w="142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割合（％）</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100.0%</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29.1%</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9.6%</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0.9%</w:t>
            </w:r>
          </w:p>
        </w:tc>
        <w:tc>
          <w:tcPr>
            <w:tcW w:w="1000" w:type="dxa"/>
            <w:tcBorders>
              <w:top w:val="nil"/>
              <w:left w:val="nil"/>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32.4%</w:t>
            </w:r>
          </w:p>
        </w:tc>
        <w:tc>
          <w:tcPr>
            <w:tcW w:w="1000" w:type="dxa"/>
            <w:tcBorders>
              <w:top w:val="nil"/>
              <w:left w:val="single" w:color="auto" w:sz="4" w:space="0"/>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14.5%</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9.6%</w:t>
            </w:r>
          </w:p>
        </w:tc>
        <w:tc>
          <w:tcPr>
            <w:tcW w:w="1000" w:type="dxa"/>
            <w:tcBorders>
              <w:top w:val="nil"/>
              <w:left w:val="nil"/>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3.8%</w:t>
            </w:r>
          </w:p>
        </w:tc>
      </w:tr>
      <w:tr>
        <w:trPr>
          <w:trHeight w:val="630" w:hRule="atLeast"/>
        </w:trPr>
        <w:tc>
          <w:tcPr>
            <w:tcW w:w="142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H28.9</w:t>
            </w:r>
            <w:r>
              <w:rPr>
                <w:rFonts w:hint="eastAsia" w:ascii="HG丸ｺﾞｼｯｸM-PRO" w:hAnsi="HG丸ｺﾞｼｯｸM-PRO" w:eastAsia="HG丸ｺﾞｼｯｸM-PRO"/>
                <w:color w:val="000000"/>
                <w:kern w:val="0"/>
                <w:sz w:val="17"/>
              </w:rPr>
              <w:t>～</w:t>
            </w:r>
            <w:r>
              <w:rPr>
                <w:rFonts w:hint="eastAsia" w:ascii="HG丸ｺﾞｼｯｸM-PRO" w:hAnsi="HG丸ｺﾞｼｯｸM-PRO" w:eastAsia="HG丸ｺﾞｼｯｸM-PRO"/>
                <w:color w:val="000000"/>
                <w:kern w:val="0"/>
                <w:sz w:val="17"/>
              </w:rPr>
              <w:t>H30.3</w:t>
            </w:r>
            <w:r>
              <w:rPr>
                <w:rFonts w:hint="eastAsia" w:ascii="HG丸ｺﾞｼｯｸM-PRO" w:hAnsi="HG丸ｺﾞｼｯｸM-PRO" w:eastAsia="HG丸ｺﾞｼｯｸM-PRO"/>
                <w:color w:val="000000"/>
                <w:kern w:val="0"/>
                <w:sz w:val="17"/>
              </w:rPr>
              <w:br w:type="textWrapping" w:clear="none"/>
            </w:r>
            <w:r>
              <w:rPr>
                <w:rFonts w:hint="eastAsia" w:ascii="HG丸ｺﾞｼｯｸM-PRO" w:hAnsi="HG丸ｺﾞｼｯｸM-PRO" w:eastAsia="HG丸ｺﾞｼｯｸM-PRO"/>
                <w:color w:val="000000"/>
                <w:kern w:val="0"/>
                <w:sz w:val="17"/>
              </w:rPr>
              <w:t>処理実績</w:t>
            </w:r>
            <w:r>
              <w:rPr>
                <w:rFonts w:hint="eastAsia" w:ascii="HG丸ｺﾞｼｯｸM-PRO" w:hAnsi="HG丸ｺﾞｼｯｸM-PRO" w:eastAsia="HG丸ｺﾞｼｯｸM-PRO"/>
                <w:color w:val="000000"/>
                <w:kern w:val="0"/>
                <w:sz w:val="17"/>
              </w:rPr>
              <w:br w:type="textWrapping" w:clear="none"/>
            </w:r>
            <w:r>
              <w:rPr>
                <w:rFonts w:hint="eastAsia" w:ascii="HG丸ｺﾞｼｯｸM-PRO" w:hAnsi="HG丸ｺﾞｼｯｸM-PRO" w:eastAsia="HG丸ｺﾞｼｯｸM-PRO"/>
                <w:color w:val="000000"/>
                <w:kern w:val="0"/>
                <w:sz w:val="17"/>
              </w:rPr>
              <w:t>（千トン）</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2,422</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1,233</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411</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9</w:t>
            </w:r>
          </w:p>
        </w:tc>
        <w:tc>
          <w:tcPr>
            <w:tcW w:w="1000" w:type="dxa"/>
            <w:tcBorders>
              <w:top w:val="nil"/>
              <w:left w:val="nil"/>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263</w:t>
            </w:r>
          </w:p>
        </w:tc>
        <w:tc>
          <w:tcPr>
            <w:tcW w:w="1000" w:type="dxa"/>
            <w:tcBorders>
              <w:top w:val="nil"/>
              <w:left w:val="single" w:color="auto" w:sz="4" w:space="0"/>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63</w:t>
            </w:r>
          </w:p>
        </w:tc>
        <w:tc>
          <w:tcPr>
            <w:tcW w:w="1000" w:type="dxa"/>
            <w:tcBorders>
              <w:top w:val="nil"/>
              <w:left w:val="single" w:color="auto" w:sz="4" w:space="0"/>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252</w:t>
            </w:r>
          </w:p>
        </w:tc>
        <w:tc>
          <w:tcPr>
            <w:tcW w:w="1000" w:type="dxa"/>
            <w:tcBorders>
              <w:top w:val="nil"/>
              <w:left w:val="nil"/>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190</w:t>
            </w:r>
          </w:p>
        </w:tc>
      </w:tr>
      <w:tr>
        <w:trPr>
          <w:trHeight w:val="375" w:hRule="atLeast"/>
        </w:trPr>
        <w:tc>
          <w:tcPr>
            <w:tcW w:w="142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割合（％）</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100.0%</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50.9%</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17.0%</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0.4%</w:t>
            </w:r>
          </w:p>
        </w:tc>
        <w:tc>
          <w:tcPr>
            <w:tcW w:w="1000" w:type="dxa"/>
            <w:tcBorders>
              <w:top w:val="nil"/>
              <w:left w:val="nil"/>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10.9%</w:t>
            </w:r>
          </w:p>
        </w:tc>
        <w:tc>
          <w:tcPr>
            <w:tcW w:w="1000" w:type="dxa"/>
            <w:tcBorders>
              <w:top w:val="nil"/>
              <w:left w:val="single" w:color="auto" w:sz="4" w:space="0"/>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2.6%</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10.4%</w:t>
            </w:r>
          </w:p>
        </w:tc>
        <w:tc>
          <w:tcPr>
            <w:tcW w:w="1000" w:type="dxa"/>
            <w:tcBorders>
              <w:top w:val="nil"/>
              <w:left w:val="nil"/>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7.9%</w:t>
            </w:r>
          </w:p>
        </w:tc>
      </w:tr>
      <w:tr>
        <w:trPr>
          <w:trHeight w:val="630" w:hRule="atLeast"/>
        </w:trPr>
        <w:tc>
          <w:tcPr>
            <w:tcW w:w="142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合計</w:t>
            </w:r>
            <w:r>
              <w:rPr>
                <w:rFonts w:hint="eastAsia" w:ascii="HG丸ｺﾞｼｯｸM-PRO" w:hAnsi="HG丸ｺﾞｼｯｸM-PRO" w:eastAsia="HG丸ｺﾞｼｯｸM-PRO"/>
                <w:color w:val="000000"/>
                <w:kern w:val="0"/>
                <w:sz w:val="17"/>
              </w:rPr>
              <w:br w:type="textWrapping" w:clear="none"/>
            </w:r>
            <w:r>
              <w:rPr>
                <w:rFonts w:hint="eastAsia" w:ascii="HG丸ｺﾞｼｯｸM-PRO" w:hAnsi="HG丸ｺﾞｼｯｸM-PRO" w:eastAsia="HG丸ｺﾞｼｯｸM-PRO"/>
                <w:color w:val="000000"/>
                <w:kern w:val="0"/>
                <w:sz w:val="17"/>
              </w:rPr>
              <w:t>（千トン）</w:t>
            </w:r>
          </w:p>
        </w:tc>
        <w:tc>
          <w:tcPr>
            <w:tcW w:w="1000" w:type="dxa"/>
            <w:tcBorders>
              <w:top w:val="nil"/>
              <w:left w:val="nil"/>
              <w:bottom w:val="dotted" w:color="auto" w:sz="4" w:space="0"/>
              <w:right w:val="single" w:color="auto" w:sz="4" w:space="0"/>
              <w:tl2br w:val="none" w:color="auto" w:sz="0" w:space="0"/>
              <w:tr2bl w:val="none" w:color="auto" w:sz="0" w:space="0"/>
            </w:tcBorders>
            <w:shd w:val="clear" w:color="auto" w:themeFill="accent4" w:themeFillTint="66" w:themeFillShade="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2,893</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1,371</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456</w:t>
            </w:r>
          </w:p>
        </w:tc>
        <w:tc>
          <w:tcPr>
            <w:tcW w:w="1000" w:type="dxa"/>
            <w:tcBorders>
              <w:top w:val="nil"/>
              <w:left w:val="nil"/>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14</w:t>
            </w:r>
          </w:p>
        </w:tc>
        <w:tc>
          <w:tcPr>
            <w:tcW w:w="1000" w:type="dxa"/>
            <w:tcBorders>
              <w:top w:val="nil"/>
              <w:left w:val="nil"/>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416</w:t>
            </w:r>
          </w:p>
        </w:tc>
        <w:tc>
          <w:tcPr>
            <w:tcW w:w="1000" w:type="dxa"/>
            <w:tcBorders>
              <w:top w:val="nil"/>
              <w:left w:val="single" w:color="auto" w:sz="4" w:space="0"/>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131</w:t>
            </w:r>
          </w:p>
        </w:tc>
        <w:tc>
          <w:tcPr>
            <w:tcW w:w="1000" w:type="dxa"/>
            <w:tcBorders>
              <w:top w:val="nil"/>
              <w:left w:val="single" w:color="auto" w:sz="4" w:space="0"/>
              <w:bottom w:val="dotted"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297</w:t>
            </w:r>
          </w:p>
        </w:tc>
        <w:tc>
          <w:tcPr>
            <w:tcW w:w="1000" w:type="dxa"/>
            <w:tcBorders>
              <w:top w:val="nil"/>
              <w:left w:val="nil"/>
              <w:bottom w:val="dotted"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208</w:t>
            </w:r>
          </w:p>
        </w:tc>
      </w:tr>
      <w:tr>
        <w:trPr>
          <w:trHeight w:val="375" w:hRule="atLeast"/>
        </w:trPr>
        <w:tc>
          <w:tcPr>
            <w:tcW w:w="142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割合（％）</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100.0%</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47.4%</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15.7%</w:t>
            </w:r>
          </w:p>
        </w:tc>
        <w:tc>
          <w:tcPr>
            <w:tcW w:w="100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0.5%</w:t>
            </w:r>
          </w:p>
        </w:tc>
        <w:tc>
          <w:tcPr>
            <w:tcW w:w="1000" w:type="dxa"/>
            <w:tcBorders>
              <w:top w:val="nil"/>
              <w:left w:val="nil"/>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14.4%</w:t>
            </w:r>
          </w:p>
        </w:tc>
        <w:tc>
          <w:tcPr>
            <w:tcW w:w="1000" w:type="dxa"/>
            <w:tcBorders>
              <w:top w:val="nil"/>
              <w:left w:val="single" w:color="auto" w:sz="4" w:space="0"/>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4.5%</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10.3%</w:t>
            </w:r>
          </w:p>
        </w:tc>
        <w:tc>
          <w:tcPr>
            <w:tcW w:w="1000" w:type="dxa"/>
            <w:tcBorders>
              <w:top w:val="nil"/>
              <w:left w:val="nil"/>
              <w:bottom w:val="single" w:color="auto" w:sz="4" w:space="0"/>
              <w:right w:val="nil"/>
              <w:tl2br w:val="none" w:color="auto" w:sz="0" w:space="0"/>
              <w:tr2bl w:val="none" w:color="auto" w:sz="0" w:space="0"/>
            </w:tcBorders>
            <w:shd w:val="clear" w:color="000000" w:fill="FFFFFF"/>
            <w:vAlign w:val="center"/>
          </w:tcPr>
          <w:p>
            <w:pPr>
              <w:pStyle w:val="0"/>
              <w:widowControl w:val="1"/>
              <w:jc w:val="center"/>
              <w:rPr>
                <w:rFonts w:hint="default" w:ascii="HG丸ｺﾞｼｯｸM-PRO" w:hAnsi="HG丸ｺﾞｼｯｸM-PRO" w:eastAsia="HG丸ｺﾞｼｯｸM-PRO"/>
                <w:color w:val="000000"/>
                <w:kern w:val="0"/>
                <w:sz w:val="17"/>
              </w:rPr>
            </w:pPr>
            <w:r>
              <w:rPr>
                <w:rFonts w:hint="eastAsia" w:ascii="HG丸ｺﾞｼｯｸM-PRO" w:hAnsi="HG丸ｺﾞｼｯｸM-PRO" w:eastAsia="HG丸ｺﾞｼｯｸM-PRO"/>
                <w:color w:val="000000"/>
                <w:kern w:val="0"/>
                <w:sz w:val="17"/>
              </w:rPr>
              <w:t>7.2%</w:t>
            </w:r>
          </w:p>
        </w:tc>
      </w:tr>
      <w:tr>
        <w:trPr>
          <w:trHeight w:val="375" w:hRule="atLeast"/>
        </w:trPr>
        <w:tc>
          <w:tcPr>
            <w:tcW w:w="9420" w:type="dxa"/>
            <w:gridSpan w:val="9"/>
            <w:tcBorders>
              <w:top w:val="single" w:color="auto" w:sz="4" w:space="0"/>
              <w:left w:val="nil"/>
              <w:bottom w:val="nil"/>
              <w:right w:val="nil"/>
              <w:tl2br w:val="none" w:color="auto" w:sz="0" w:space="0"/>
              <w:tr2bl w:val="none" w:color="auto" w:sz="0" w:space="0"/>
            </w:tcBorders>
            <w:shd w:val="clear" w:color="000000" w:fill="FFFFFF"/>
            <w:vAlign w:val="center"/>
          </w:tcPr>
          <w:p>
            <w:pPr>
              <w:pStyle w:val="0"/>
              <w:widowControl w:val="1"/>
              <w:jc w:val="right"/>
              <w:rPr>
                <w:rFonts w:hint="default" w:ascii="游ゴシック" w:hAnsi="游ゴシック" w:eastAsia="游ゴシック"/>
                <w:color w:val="000000"/>
                <w:kern w:val="0"/>
                <w:sz w:val="17"/>
              </w:rPr>
            </w:pPr>
            <w:r>
              <w:rPr>
                <w:rFonts w:hint="eastAsia" w:ascii="游ゴシック" w:hAnsi="游ゴシック" w:eastAsia="游ゴシック"/>
                <w:color w:val="000000"/>
                <w:kern w:val="0"/>
                <w:sz w:val="17"/>
              </w:rPr>
              <w:t>（注）小数点以下の四捨五入の関係で合計が合わない箇所がある。</w:t>
            </w:r>
          </w:p>
        </w:tc>
      </w:tr>
    </w:tbl>
    <w:p>
      <w:pPr>
        <w:pStyle w:val="0"/>
        <w:numPr>
          <w:ilvl w:val="2"/>
          <w:numId w:val="0"/>
        </w:numP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出典：「熊本地震における被害の実態及び災害廃棄物処理の現状と課題」（平成２９年７月２６日、熊本県）</w:t>
      </w:r>
    </w:p>
    <w:p>
      <w:pPr>
        <w:pStyle w:val="0"/>
        <w:numPr>
          <w:ilvl w:val="2"/>
          <w:numId w:val="0"/>
        </w:numPr>
        <w:ind w:left="630" w:hanging="630" w:hangingChars="300"/>
        <w:rPr>
          <w:rFonts w:hint="default" w:ascii="HG丸ｺﾞｼｯｸM-PRO" w:hAnsi="HG丸ｺﾞｼｯｸM-PRO" w:eastAsia="HG丸ｺﾞｼｯｸM-PRO"/>
        </w:rPr>
      </w:pPr>
    </w:p>
    <w:p>
      <w:pPr>
        <w:pStyle w:val="0"/>
        <w:numPr>
          <w:ilvl w:val="2"/>
          <w:numId w:val="0"/>
        </w:numPr>
        <w:ind w:left="210" w:leftChars="100" w:firstLine="210" w:firstLineChars="100"/>
        <w:rPr>
          <w:rFonts w:hint="default"/>
        </w:rPr>
      </w:pPr>
      <w:r>
        <w:rPr>
          <w:rFonts w:hint="eastAsia" w:ascii="HG丸ｺﾞｼｯｸM-PRO" w:hAnsi="HG丸ｺﾞｼｯｸM-PRO" w:eastAsia="HG丸ｺﾞｼｯｸM-PRO"/>
        </w:rPr>
        <w:t>平成２８年４～８月の処理実績４７１千トンを全て片付けごみと仮定し、災害廃棄物の合計量　　２，８９３千トンに対する割合を算出。</w:t>
      </w:r>
    </w:p>
    <w:p>
      <w:pPr>
        <w:pStyle w:val="0"/>
        <w:numPr>
          <w:ilvl w:val="2"/>
          <w:numId w:val="0"/>
        </w:numPr>
        <w:ind w:left="210" w:leftChars="100" w:firstLine="210" w:firstLineChars="100"/>
        <w:rPr>
          <w:rFonts w:hint="default"/>
        </w:rPr>
      </w:pPr>
      <w:r>
        <w:rPr>
          <w:rFonts w:hint="eastAsia" w:ascii="HG丸ｺﾞｼｯｸM-PRO" w:hAnsi="HG丸ｺﾞｼｯｸM-PRO" w:eastAsia="HG丸ｺﾞｼｯｸM-PRO"/>
        </w:rPr>
        <w:t>４７１／２，８９３×１００＝１６．３</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片付けごみの割合は１５％と推計。</w:t>
      </w:r>
    </w:p>
    <w:p>
      <w:pPr>
        <w:pStyle w:val="0"/>
        <w:rPr>
          <w:rFonts w:hint="default" w:ascii="HG丸ｺﾞｼｯｸM-PRO" w:hAnsi="HG丸ｺﾞｼｯｸM-PRO" w:eastAsia="HG丸ｺﾞｼｯｸM-PRO"/>
        </w:rPr>
      </w:pPr>
    </w:p>
    <w:p>
      <w:pPr>
        <w:pStyle w:val="3"/>
        <w:rPr>
          <w:rFonts w:hint="default"/>
        </w:rPr>
      </w:pPr>
      <w:r>
        <w:rPr>
          <w:rFonts w:hint="eastAsia"/>
        </w:rPr>
        <w:t>推計結果</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片付けごみを粗大ごみと想定すると、粗大ごみが約５，８８９トン発生する。粗大ごみは平時の発生量（約３５９トン／年）に比べて約１６倍増となるため、その円滑かつ迅速な処理が課題となる。</w:t>
      </w:r>
    </w:p>
    <w:p>
      <w:pPr>
        <w:pStyle w:val="15"/>
        <w:widowControl w:val="1"/>
        <w:numPr>
          <w:ilvl w:val="0"/>
          <w:numId w:val="4"/>
        </w:numPr>
        <w:ind w:leftChars="0"/>
        <w:jc w:val="left"/>
        <w:rPr>
          <w:rFonts w:hint="default"/>
        </w:rPr>
      </w:pPr>
      <w:r>
        <w:rPr>
          <w:rFonts w:hint="eastAsia" w:ascii="HG丸ｺﾞｼｯｸM-PRO" w:hAnsi="HG丸ｺﾞｼｯｸM-PRO" w:eastAsia="HG丸ｺﾞｼｯｸM-PRO"/>
        </w:rPr>
        <w:t>片付けごみは発災直後や避難者の帰宅等の時期に集中的に排出されることが想定されるため、仮置き・収集運搬方法に留意する必要がある。</w:t>
      </w:r>
      <w:r>
        <w:rPr>
          <w:rFonts w:hint="default"/>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３　避難所ごみの発生量の推計方法</w:t>
            </w:r>
          </w:p>
        </w:tc>
      </w:tr>
    </w:tbl>
    <w:p>
      <w:pPr>
        <w:pStyle w:val="3"/>
        <w:numPr>
          <w:ilvl w:val="2"/>
          <w:numId w:val="19"/>
        </w:numPr>
        <w:rPr>
          <w:rFonts w:hint="default"/>
        </w:rPr>
      </w:pPr>
      <w:r>
        <w:rPr>
          <w:rFonts w:hint="eastAsia"/>
        </w:rPr>
        <w:t>推計式</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避難所ごみ発生量</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避難所避難者数（人）</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発生原単位（トン／人・日）</w:t>
      </w:r>
    </w:p>
    <w:p>
      <w:pPr>
        <w:pStyle w:val="0"/>
        <w:rPr>
          <w:rFonts w:hint="default"/>
        </w:rPr>
      </w:pPr>
    </w:p>
    <w:p>
      <w:pPr>
        <w:pStyle w:val="3"/>
        <w:numPr>
          <w:ilvl w:val="2"/>
          <w:numId w:val="16"/>
        </w:numPr>
        <w:rPr>
          <w:rFonts w:hint="default"/>
        </w:rPr>
      </w:pPr>
      <w:r>
        <w:rPr>
          <w:rFonts w:hint="eastAsia"/>
        </w:rPr>
        <w:t>設定数値</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避難者数</w:t>
      </w:r>
    </w:p>
    <w:tbl>
      <w:tblPr>
        <w:tblStyle w:val="11"/>
        <w:tblW w:w="7800" w:type="dxa"/>
        <w:jc w:val="center"/>
        <w:tblInd w:w="0" w:type="dxa"/>
        <w:tblLayout w:type="fixed"/>
        <w:tblCellMar>
          <w:left w:w="99" w:type="dxa"/>
          <w:right w:w="99" w:type="dxa"/>
        </w:tblCellMar>
        <w:tblLook w:firstRow="1" w:lastRow="0" w:firstColumn="1" w:lastColumn="0" w:noHBand="0" w:noVBand="1" w:val="04A0"/>
      </w:tblPr>
      <w:tblGrid>
        <w:gridCol w:w="1300"/>
        <w:gridCol w:w="1036"/>
        <w:gridCol w:w="1366"/>
        <w:gridCol w:w="1366"/>
        <w:gridCol w:w="1366"/>
        <w:gridCol w:w="1366"/>
      </w:tblGrid>
      <w:tr>
        <w:trPr>
          <w:trHeight w:val="450" w:hRule="atLeast"/>
        </w:trPr>
        <w:tc>
          <w:tcPr>
            <w:tcW w:w="1300" w:type="dxa"/>
            <w:vMerge w:val="restart"/>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　</w:t>
            </w:r>
          </w:p>
        </w:tc>
        <w:tc>
          <w:tcPr>
            <w:tcW w:w="6500" w:type="dxa"/>
            <w:gridSpan w:val="5"/>
            <w:tcBorders>
              <w:top w:val="single" w:color="auto" w:sz="4" w:space="0"/>
              <w:left w:val="single" w:color="auto" w:sz="4" w:space="0"/>
              <w:bottom w:val="single" w:color="auto" w:sz="4" w:space="0"/>
              <w:right w:val="nil"/>
              <w:tl2br w:val="nil"/>
              <w:tr2bl w:val="nil"/>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時期区分</w:t>
            </w:r>
          </w:p>
        </w:tc>
      </w:tr>
      <w:tr>
        <w:trPr>
          <w:trHeight w:val="450" w:hRule="atLeast"/>
        </w:trPr>
        <w:tc>
          <w:tcPr>
            <w:tcW w:w="1300" w:type="dxa"/>
            <w:vMerge w:val="continue"/>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22"/>
              </w:rPr>
            </w:pPr>
          </w:p>
        </w:tc>
        <w:tc>
          <w:tcPr>
            <w:tcW w:w="103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日後</w:t>
            </w:r>
          </w:p>
        </w:tc>
        <w:tc>
          <w:tcPr>
            <w:tcW w:w="136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週間後</w:t>
            </w:r>
          </w:p>
        </w:tc>
        <w:tc>
          <w:tcPr>
            <w:tcW w:w="136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2</w:t>
            </w:r>
            <w:r>
              <w:rPr>
                <w:rFonts w:hint="eastAsia" w:ascii="HG丸ｺﾞｼｯｸM-PRO" w:hAnsi="HG丸ｺﾞｼｯｸM-PRO" w:eastAsia="HG丸ｺﾞｼｯｸM-PRO"/>
                <w:color w:val="000000"/>
                <w:kern w:val="0"/>
                <w:sz w:val="22"/>
              </w:rPr>
              <w:t>週間後</w:t>
            </w:r>
          </w:p>
        </w:tc>
        <w:tc>
          <w:tcPr>
            <w:tcW w:w="136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4</w:t>
            </w:r>
            <w:r>
              <w:rPr>
                <w:rFonts w:hint="eastAsia" w:ascii="HG丸ｺﾞｼｯｸM-PRO" w:hAnsi="HG丸ｺﾞｼｯｸM-PRO" w:eastAsia="HG丸ｺﾞｼｯｸM-PRO"/>
                <w:color w:val="000000"/>
                <w:kern w:val="0"/>
                <w:sz w:val="22"/>
              </w:rPr>
              <w:t>週間後</w:t>
            </w:r>
          </w:p>
        </w:tc>
        <w:tc>
          <w:tcPr>
            <w:tcW w:w="1366" w:type="dxa"/>
            <w:tcBorders>
              <w:top w:val="single" w:color="auto" w:sz="4" w:space="0"/>
              <w:left w:val="nil"/>
              <w:bottom w:val="single" w:color="auto" w:sz="4" w:space="0"/>
              <w:right w:val="nil"/>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ヶ月後</w:t>
            </w:r>
          </w:p>
        </w:tc>
      </w:tr>
      <w:tr>
        <w:trPr>
          <w:trHeight w:val="450" w:hRule="atLeast"/>
        </w:trPr>
        <w:tc>
          <w:tcPr>
            <w:tcW w:w="1300" w:type="dxa"/>
            <w:tcBorders>
              <w:top w:val="nil"/>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避難所内</w:t>
            </w:r>
          </w:p>
        </w:tc>
        <w:tc>
          <w:tcPr>
            <w:tcW w:w="10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180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940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850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360</w:t>
            </w:r>
          </w:p>
        </w:tc>
        <w:tc>
          <w:tcPr>
            <w:tcW w:w="1366"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330</w:t>
            </w:r>
          </w:p>
        </w:tc>
      </w:tr>
      <w:tr>
        <w:trPr>
          <w:trHeight w:val="450" w:hRule="atLeast"/>
        </w:trPr>
        <w:tc>
          <w:tcPr>
            <w:tcW w:w="1300" w:type="dxa"/>
            <w:tcBorders>
              <w:top w:val="nil"/>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避難所外</w:t>
            </w:r>
          </w:p>
        </w:tc>
        <w:tc>
          <w:tcPr>
            <w:tcW w:w="10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120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940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1300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840</w:t>
            </w:r>
          </w:p>
        </w:tc>
        <w:tc>
          <w:tcPr>
            <w:tcW w:w="1366"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780</w:t>
            </w:r>
          </w:p>
        </w:tc>
      </w:tr>
    </w:tbl>
    <w:p>
      <w:pPr>
        <w:pStyle w:val="0"/>
        <w:numPr>
          <w:ilvl w:val="2"/>
          <w:numId w:val="0"/>
        </w:numPr>
        <w:ind w:left="945" w:leftChars="450"/>
        <w:rPr>
          <w:rFonts w:hint="default" w:ascii="HG丸ｺﾞｼｯｸM-PRO" w:hAnsi="HG丸ｺﾞｼｯｸM-PRO" w:eastAsia="HG丸ｺﾞｼｯｸM-PRO"/>
          <w:color w:val="auto"/>
          <w:highlight w:val="yellow"/>
        </w:rPr>
      </w:pPr>
      <w:r>
        <w:rPr>
          <w:rFonts w:hint="eastAsia" w:ascii="HG丸ｺﾞｼｯｸM-PRO" w:hAnsi="HG丸ｺﾞｼｯｸM-PRO" w:eastAsia="HG丸ｺﾞｼｯｸM-PRO"/>
          <w:color w:val="auto"/>
        </w:rPr>
        <w:t>出典：「千葉県地震被害想定調査」（平成２６・２７年度、千葉県）</w:t>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巻末図表２　市民１人１日当たりの家庭系ごみ排出量（粗大ごみを除く）</w:t>
            </w:r>
          </w:p>
        </w:tc>
      </w:tr>
    </w:tbl>
    <w:p>
      <w:pPr>
        <w:pStyle w:val="0"/>
        <w:rPr>
          <w:rFonts w:hint="default"/>
        </w:rPr>
      </w:pPr>
    </w:p>
    <w:tbl>
      <w:tblPr>
        <w:tblStyle w:val="45"/>
        <w:tblW w:w="7370"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5184"/>
        <w:gridCol w:w="2186"/>
      </w:tblGrid>
      <w:tr>
        <w:trPr/>
        <w:tc>
          <w:tcPr>
            <w:tcW w:w="4706" w:type="dxa"/>
            <w:shd w:val="clear" w:color="auto" w:themeFill="background2" w:themeFillTint="FF" w:themeFillShade="FF"/>
            <w:tcMar>
              <w:top w:w="28" w:type="dxa"/>
              <w:bottom w:w="28" w:type="dxa"/>
            </w:tcMar>
            <w:vAlign w:val="center"/>
          </w:tcPr>
          <w:p>
            <w:pPr>
              <w:pStyle w:val="0"/>
              <w:snapToGrid w:val="0"/>
              <w:jc w:val="center"/>
              <w:rPr>
                <w:rFonts w:hint="default" w:ascii="HG丸ｺﾞｼｯｸM-PRO" w:hAnsi="HG丸ｺﾞｼｯｸM-PRO" w:eastAsia="HG丸ｺﾞｼｯｸM-PRO"/>
                <w:sz w:val="18"/>
              </w:rPr>
            </w:pPr>
          </w:p>
        </w:tc>
        <w:tc>
          <w:tcPr>
            <w:tcW w:w="1984" w:type="dxa"/>
            <w:shd w:val="clear" w:color="auto" w:themeFill="background2" w:themeFillTint="FF" w:themeFillShade="FF"/>
            <w:tcMar>
              <w:top w:w="28" w:type="dxa"/>
              <w:bottom w:w="28" w:type="dxa"/>
            </w:tcMar>
            <w:vAlign w:val="center"/>
          </w:tcPr>
          <w:p>
            <w:pPr>
              <w:pStyle w:val="0"/>
              <w:snapToGrid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平成</w:t>
            </w:r>
            <w:r>
              <w:rPr>
                <w:rFonts w:hint="eastAsia" w:ascii="HG丸ｺﾞｼｯｸM-PRO" w:hAnsi="HG丸ｺﾞｼｯｸM-PRO" w:eastAsia="HG丸ｺﾞｼｯｸM-PRO"/>
                <w:sz w:val="18"/>
              </w:rPr>
              <w:t>30</w:t>
            </w:r>
            <w:r>
              <w:rPr>
                <w:rFonts w:hint="eastAsia" w:ascii="HG丸ｺﾞｼｯｸM-PRO" w:hAnsi="HG丸ｺﾞｼｯｸM-PRO" w:eastAsia="HG丸ｺﾞｼｯｸM-PRO"/>
                <w:sz w:val="18"/>
              </w:rPr>
              <w:t>年度</w:t>
            </w:r>
          </w:p>
        </w:tc>
      </w:tr>
      <w:tr>
        <w:trPr/>
        <w:tc>
          <w:tcPr>
            <w:tcW w:w="4706" w:type="dxa"/>
            <w:vAlign w:val="top"/>
          </w:tcPr>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総人口（人）</w:t>
            </w:r>
          </w:p>
        </w:tc>
        <w:tc>
          <w:tcPr>
            <w:tcW w:w="1984" w:type="dxa"/>
            <w:tcMar>
              <w:right w:w="227" w:type="dxa"/>
            </w:tcMar>
            <w:vAlign w:val="top"/>
          </w:tcPr>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49,686</w:t>
            </w:r>
          </w:p>
        </w:tc>
      </w:tr>
      <w:tr>
        <w:trPr/>
        <w:tc>
          <w:tcPr>
            <w:tcW w:w="4706" w:type="dxa"/>
            <w:vAlign w:val="top"/>
          </w:tcPr>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家庭系ごみ排出量（トン</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年）</w:t>
            </w:r>
          </w:p>
        </w:tc>
        <w:tc>
          <w:tcPr>
            <w:tcW w:w="1984" w:type="dxa"/>
            <w:tcMar>
              <w:right w:w="227" w:type="dxa"/>
            </w:tcMar>
            <w:vAlign w:val="top"/>
          </w:tcPr>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12,704</w:t>
            </w:r>
          </w:p>
        </w:tc>
      </w:tr>
      <w:tr>
        <w:trPr/>
        <w:tc>
          <w:tcPr>
            <w:tcW w:w="4706" w:type="dxa"/>
            <w:vAlign w:val="top"/>
          </w:tcPr>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市民１人１日当たりの家庭系ごみ排出量（グラム</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人・日）</w:t>
            </w:r>
          </w:p>
        </w:tc>
        <w:tc>
          <w:tcPr>
            <w:tcW w:w="1984" w:type="dxa"/>
            <w:tcMar>
              <w:right w:w="227" w:type="dxa"/>
            </w:tcMar>
            <w:vAlign w:val="top"/>
          </w:tcPr>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700.5</w:t>
            </w:r>
          </w:p>
        </w:tc>
      </w:tr>
    </w:tbl>
    <w:p>
      <w:pPr>
        <w:pStyle w:val="0"/>
        <w:topLinePunct w:val="1"/>
        <w:snapToGrid w:val="0"/>
        <w:ind w:firstLine="1200" w:firstLineChars="750"/>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※注）家庭系ごみ排出量は粗大ごみ以外の家庭系ごみの合計。</w:t>
      </w:r>
    </w:p>
    <w:p>
      <w:pPr>
        <w:pStyle w:val="0"/>
        <w:numPr>
          <w:ilvl w:val="2"/>
          <w:numId w:val="0"/>
        </w:numPr>
        <w:ind w:left="1155" w:leftChars="550"/>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rPr>
        <w:t>出典：「一般廃棄物処理事業実態調査」（平成３０年、環境省）</w:t>
      </w:r>
    </w:p>
    <w:p>
      <w:pPr>
        <w:pStyle w:val="0"/>
        <w:widowControl w:val="1"/>
        <w:jc w:val="left"/>
        <w:rPr>
          <w:rFonts w:hint="default"/>
        </w:rPr>
      </w:pPr>
    </w:p>
    <w:p>
      <w:pPr>
        <w:pStyle w:val="0"/>
        <w:numPr>
          <w:ilvl w:val="2"/>
          <w:numId w:val="0"/>
        </w:numPr>
        <w:ind w:left="420" w:leftChars="200"/>
        <w:rPr>
          <w:rFonts w:hint="default"/>
        </w:rPr>
      </w:pPr>
      <w:r>
        <w:rPr>
          <w:rFonts w:hint="eastAsia" w:ascii="HG丸ｺﾞｼｯｸM-PRO" w:hAnsi="HG丸ｺﾞｼｯｸM-PRO" w:eastAsia="HG丸ｺﾞｼｯｸM-PRO"/>
        </w:rPr>
        <w:t>・市民１人１日当たりの家庭系ごみ排出量</w:t>
      </w:r>
    </w:p>
    <w:p>
      <w:pPr>
        <w:pStyle w:val="0"/>
        <w:numPr>
          <w:ilvl w:val="2"/>
          <w:numId w:val="0"/>
        </w:numPr>
        <w:ind w:left="420" w:leftChars="200" w:firstLine="210" w:firstLineChars="100"/>
        <w:rPr>
          <w:rFonts w:hint="default"/>
        </w:rPr>
      </w:pPr>
      <w:r>
        <w:rPr>
          <w:rFonts w:hint="eastAsia" w:ascii="HG丸ｺﾞｼｯｸM-PRO" w:hAnsi="HG丸ｺﾞｼｯｸM-PRO" w:eastAsia="HG丸ｺﾞｼｯｸM-PRO"/>
        </w:rPr>
        <w:t>家庭系ごみ排出量１２，７０４（トン）／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総人口４９，６８６（人）／</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３６５（日）</w:t>
      </w:r>
    </w:p>
    <w:p>
      <w:pPr>
        <w:pStyle w:val="0"/>
        <w:numPr>
          <w:ilvl w:val="2"/>
          <w:numId w:val="0"/>
        </w:numPr>
        <w:ind w:left="420" w:leftChars="200" w:firstLine="210" w:firstLineChars="100"/>
        <w:rPr>
          <w:rFonts w:hint="default"/>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７００．５（グラム）</w:t>
      </w:r>
    </w:p>
    <w:p>
      <w:pPr>
        <w:pStyle w:val="0"/>
        <w:widowControl w:val="1"/>
        <w:jc w:val="left"/>
        <w:rPr>
          <w:rFonts w:hint="default"/>
        </w:rPr>
      </w:pPr>
    </w:p>
    <w:p>
      <w:pPr>
        <w:pStyle w:val="3"/>
        <w:rPr>
          <w:rFonts w:hint="default"/>
        </w:rPr>
      </w:pPr>
      <w:r>
        <w:rPr>
          <w:rFonts w:hint="eastAsia"/>
        </w:rPr>
        <w:t>推計結果</w:t>
      </w:r>
    </w:p>
    <w:p>
      <w:pPr>
        <w:pStyle w:val="15"/>
        <w:numPr>
          <w:ilvl w:val="0"/>
          <w:numId w:val="4"/>
        </w:numPr>
        <w:ind w:leftChars="0"/>
        <w:rPr>
          <w:rFonts w:hint="default"/>
        </w:rPr>
      </w:pPr>
      <w:r>
        <w:rPr>
          <w:rFonts w:hint="eastAsia" w:ascii="HG丸ｺﾞｼｯｸM-PRO" w:hAnsi="HG丸ｺﾞｼｯｸM-PRO" w:eastAsia="HG丸ｺﾞｼｯｸM-PRO"/>
        </w:rPr>
        <w:t>避難所ごみは、避難所避難者がピークを迎える１日後に</w:t>
      </w:r>
      <w:r>
        <w:rPr>
          <w:rFonts w:hint="eastAsia" w:ascii="HG丸ｺﾞｼｯｸM-PRO" w:hAnsi="HG丸ｺﾞｼｯｸM-PRO" w:eastAsia="HG丸ｺﾞｼｯｸM-PRO"/>
        </w:rPr>
        <w:t>1</w:t>
      </w:r>
      <w:r>
        <w:rPr>
          <w:rFonts w:hint="eastAsia" w:ascii="HG丸ｺﾞｼｯｸM-PRO" w:hAnsi="HG丸ｺﾞｼｯｸM-PRO" w:eastAsia="HG丸ｺﾞｼｯｸM-PRO"/>
        </w:rPr>
        <w:t>日約０．７トン（全体の２％程度）発生する。</w:t>
      </w:r>
    </w:p>
    <w:p>
      <w:pPr>
        <w:pStyle w:val="15"/>
        <w:ind w:left="0" w:leftChars="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巻末図表３　避難所ごみの発生量の推計結果</w:t>
            </w:r>
          </w:p>
        </w:tc>
      </w:tr>
    </w:tbl>
    <w:p>
      <w:pPr>
        <w:pStyle w:val="0"/>
        <w:jc w:val="center"/>
        <w:rPr>
          <w:rFonts w:hint="default" w:ascii="HG丸ｺﾞｼｯｸM-PRO" w:hAnsi="HG丸ｺﾞｼｯｸM-PRO" w:eastAsia="HG丸ｺﾞｼｯｸM-PRO"/>
        </w:rPr>
      </w:pPr>
    </w:p>
    <w:tbl>
      <w:tblPr>
        <w:tblStyle w:val="45"/>
        <w:tblW w:w="4678"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2339"/>
        <w:gridCol w:w="2339"/>
      </w:tblGrid>
      <w:tr>
        <w:trPr/>
        <w:tc>
          <w:tcPr>
            <w:tcW w:w="4678" w:type="dxa"/>
            <w:gridSpan w:val="2"/>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避難所ごみの発生量（トン／日）</w:t>
            </w:r>
          </w:p>
        </w:tc>
      </w:tr>
      <w:tr>
        <w:trPr/>
        <w:tc>
          <w:tcPr>
            <w:tcW w:w="2339"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初動期</w:t>
            </w:r>
          </w:p>
        </w:tc>
        <w:tc>
          <w:tcPr>
            <w:tcW w:w="2339"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応急対応期</w:t>
            </w:r>
          </w:p>
        </w:tc>
      </w:tr>
      <w:tr>
        <w:trPr/>
        <w:tc>
          <w:tcPr>
            <w:tcW w:w="2339"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0.1</w:t>
            </w:r>
          </w:p>
        </w:tc>
        <w:tc>
          <w:tcPr>
            <w:tcW w:w="2339"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0.7</w:t>
            </w:r>
          </w:p>
        </w:tc>
      </w:tr>
    </w:tbl>
    <w:p>
      <w:pPr>
        <w:pStyle w:val="0"/>
        <w:widowControl w:val="1"/>
        <w:jc w:val="left"/>
        <w:rPr>
          <w:rFonts w:hint="default" w:ascii="HG丸ｺﾞｼｯｸM-PRO" w:hAnsi="HG丸ｺﾞｼｯｸM-PRO" w:eastAsia="HG丸ｺﾞｼｯｸM-PRO"/>
          <w:color w:val="0070C0"/>
          <w:sz w:val="18"/>
        </w:rPr>
      </w:pPr>
      <w:r>
        <w:rPr>
          <w:rFonts w:hint="eastAsia"/>
          <w:color w:val="0070C0"/>
        </w:rPr>
        <w:t>　　　　</w:t>
      </w:r>
      <w:r>
        <w:rPr>
          <w:rFonts w:hint="eastAsia"/>
          <w:color w:val="0070C0"/>
          <w:sz w:val="18"/>
        </w:rPr>
        <w:t>　</w:t>
      </w:r>
      <w:r>
        <w:rPr>
          <w:rFonts w:hint="eastAsia" w:ascii="HG丸ｺﾞｼｯｸM-PRO" w:hAnsi="HG丸ｺﾞｼｯｸM-PRO" w:eastAsia="HG丸ｺﾞｼｯｸM-PRO"/>
          <w:color w:val="0070C0"/>
          <w:sz w:val="18"/>
        </w:rPr>
        <w:t>　　　　　　　　</w:t>
      </w:r>
      <w:r>
        <w:rPr>
          <w:rFonts w:hint="eastAsia" w:ascii="HG丸ｺﾞｼｯｸM-PRO" w:hAnsi="HG丸ｺﾞｼｯｸM-PRO" w:eastAsia="HG丸ｺﾞｼｯｸM-PRO"/>
          <w:sz w:val="18"/>
        </w:rPr>
        <w:t>※初動期：発災から１日後、応急対応期：発災から１週間後</w:t>
      </w:r>
    </w:p>
    <w:p>
      <w:pPr>
        <w:pStyle w:val="0"/>
        <w:widowControl w:val="1"/>
        <w:jc w:val="left"/>
        <w:rPr>
          <w:rFonts w:hint="default" w:ascii="HG丸ｺﾞｼｯｸM-PRO" w:hAnsi="HG丸ｺﾞｼｯｸM-PRO" w:eastAsia="HG丸ｺﾞｼｯｸM-PRO"/>
          <w:color w:val="FF0000"/>
        </w:rPr>
      </w:pPr>
      <w:r>
        <w:rPr>
          <w:rFonts w:hint="default" w:ascii="HG丸ｺﾞｼｯｸM-PRO" w:hAnsi="HG丸ｺﾞｼｯｸM-PRO" w:eastAsia="HG丸ｺﾞｼｯｸM-PRO"/>
          <w:color w:val="FF0000"/>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４　し尿の発生量の推計方法</w:t>
            </w:r>
          </w:p>
        </w:tc>
      </w:tr>
    </w:tbl>
    <w:p>
      <w:pPr>
        <w:pStyle w:val="3"/>
        <w:numPr>
          <w:ilvl w:val="2"/>
          <w:numId w:val="20"/>
        </w:numPr>
        <w:rPr>
          <w:rFonts w:hint="default"/>
        </w:rPr>
      </w:pPr>
      <w:r>
        <w:rPr>
          <w:rFonts w:hint="eastAsia"/>
        </w:rPr>
        <w:t>推計式</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し尿収集必要量</w:t>
      </w:r>
      <w:r>
        <w:rPr>
          <w:rFonts w:hint="eastAsia" w:ascii="HG丸ｺﾞｼｯｸM-PRO" w:hAnsi="HG丸ｺﾞｼｯｸM-PRO" w:eastAsia="HG丸ｺﾞｼｯｸM-PRO"/>
        </w:rPr>
        <w:t xml:space="preserve"> </w:t>
      </w:r>
    </w:p>
    <w:p>
      <w:pPr>
        <w:pStyle w:val="0"/>
        <w:ind w:firstLine="84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災害時におけるし尿収集必要人数</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1</w:t>
      </w:r>
      <w:r>
        <w:rPr>
          <w:rFonts w:hint="eastAsia" w:ascii="HG丸ｺﾞｼｯｸM-PRO" w:hAnsi="HG丸ｺﾞｼｯｸM-PRO" w:eastAsia="HG丸ｺﾞｼｯｸM-PRO"/>
        </w:rPr>
        <w:t>人</w:t>
      </w:r>
      <w:r>
        <w:rPr>
          <w:rFonts w:hint="eastAsia" w:ascii="HG丸ｺﾞｼｯｸM-PRO" w:hAnsi="HG丸ｺﾞｼｯｸM-PRO" w:eastAsia="HG丸ｺﾞｼｯｸM-PRO"/>
        </w:rPr>
        <w:t>1</w:t>
      </w:r>
      <w:r>
        <w:rPr>
          <w:rFonts w:hint="eastAsia" w:ascii="HG丸ｺﾞｼｯｸM-PRO" w:hAnsi="HG丸ｺﾞｼｯｸM-PRO" w:eastAsia="HG丸ｺﾞｼｯｸM-PRO"/>
        </w:rPr>
        <w:t>日平均排出量</w:t>
      </w:r>
    </w:p>
    <w:p>
      <w:pPr>
        <w:pStyle w:val="0"/>
        <w:ind w:firstLine="84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rPr>
        <w:t>＝（①仮設トイレ必要人数</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②非水洗化区域し尿収集人口）×</w:t>
      </w:r>
      <w:r>
        <w:rPr>
          <w:rFonts w:hint="eastAsia" w:ascii="HG丸ｺﾞｼｯｸM-PRO" w:hAnsi="HG丸ｺﾞｼｯｸM-PRO" w:eastAsia="HG丸ｺﾞｼｯｸM-PRO"/>
        </w:rPr>
        <w:t xml:space="preserve"> 1</w:t>
      </w:r>
      <w:r>
        <w:rPr>
          <w:rFonts w:hint="eastAsia" w:ascii="HG丸ｺﾞｼｯｸM-PRO" w:hAnsi="HG丸ｺﾞｼｯｸM-PRO" w:eastAsia="HG丸ｺﾞｼｯｸM-PRO"/>
        </w:rPr>
        <w:t>人</w:t>
      </w:r>
      <w:r>
        <w:rPr>
          <w:rFonts w:hint="eastAsia" w:ascii="HG丸ｺﾞｼｯｸM-PRO" w:hAnsi="HG丸ｺﾞｼｯｸM-PRO" w:eastAsia="HG丸ｺﾞｼｯｸM-PRO"/>
        </w:rPr>
        <w:t>1</w:t>
      </w:r>
      <w:r>
        <w:rPr>
          <w:rFonts w:hint="eastAsia" w:ascii="HG丸ｺﾞｼｯｸM-PRO" w:hAnsi="HG丸ｺﾞｼｯｸM-PRO" w:eastAsia="HG丸ｺﾞｼｯｸM-PRO"/>
        </w:rPr>
        <w:t>日平均排出量</w:t>
      </w:r>
    </w:p>
    <w:p>
      <w:pPr>
        <w:pStyle w:val="4"/>
        <w:ind w:firstLine="284"/>
        <w:rPr>
          <w:rFonts w:hint="default"/>
        </w:rPr>
      </w:pPr>
      <w:r>
        <w:rPr>
          <w:rFonts w:hint="eastAsia"/>
        </w:rPr>
        <w:t>仮設トイレ必要人数＝避難所内避難者数＋断水による仮設トイレ必要人数</w:t>
      </w:r>
    </w:p>
    <w:p>
      <w:pPr>
        <w:pStyle w:val="0"/>
        <w:widowControl w:val="1"/>
        <w:tabs>
          <w:tab w:val="left" w:leader="none" w:pos="2977"/>
        </w:tabs>
        <w:ind w:firstLine="1470" w:firstLineChars="7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断水による仮設トイレ必要人数</w:t>
      </w:r>
    </w:p>
    <w:p>
      <w:pPr>
        <w:pStyle w:val="0"/>
        <w:ind w:firstLine="1470" w:firstLineChars="700"/>
        <w:rPr>
          <w:rFonts w:hint="default" w:ascii="HG丸ｺﾞｼｯｸM-PRO" w:hAnsi="HG丸ｺﾞｼｯｸM-PRO" w:eastAsia="HG丸ｺﾞｼｯｸM-PRO"/>
        </w:rPr>
      </w:pPr>
      <w:r>
        <w:rPr>
          <w:rFonts w:hint="eastAsia" w:ascii="HG丸ｺﾞｼｯｸM-PRO" w:hAnsi="HG丸ｺﾞｼｯｸM-PRO" w:eastAsia="HG丸ｺﾞｼｯｸM-PRO"/>
        </w:rPr>
        <w:t>＝（水洗化人口－避難所内避難者数×（水洗化人口／総人口））×上水道支障率×</w:t>
      </w:r>
      <w:r>
        <w:rPr>
          <w:rFonts w:hint="eastAsia" w:ascii="HG丸ｺﾞｼｯｸM-PRO" w:hAnsi="HG丸ｺﾞｼｯｸM-PRO" w:eastAsia="HG丸ｺﾞｼｯｸM-PRO"/>
        </w:rPr>
        <w:t>1</w:t>
      </w:r>
      <w:r>
        <w:rPr>
          <w:rFonts w:hint="eastAsia" w:ascii="HG丸ｺﾞｼｯｸM-PRO" w:hAnsi="HG丸ｺﾞｼｯｸM-PRO" w:eastAsia="HG丸ｺﾞｼｯｸM-PRO"/>
        </w:rPr>
        <w:t>／</w:t>
      </w:r>
      <w:r>
        <w:rPr>
          <w:rFonts w:hint="eastAsia" w:ascii="HG丸ｺﾞｼｯｸM-PRO" w:hAnsi="HG丸ｺﾞｼｯｸM-PRO" w:eastAsia="HG丸ｺﾞｼｯｸM-PRO"/>
        </w:rPr>
        <w:t>2</w:t>
      </w:r>
    </w:p>
    <w:p>
      <w:pPr>
        <w:pStyle w:val="4"/>
        <w:ind w:firstLine="284"/>
        <w:rPr>
          <w:rFonts w:hint="default"/>
        </w:rPr>
      </w:pPr>
      <w:r>
        <w:rPr>
          <w:rFonts w:hint="eastAsia"/>
        </w:rPr>
        <w:t>非水洗化区域し尿収集人口</w:t>
      </w:r>
      <w:r>
        <w:rPr>
          <w:rFonts w:hint="eastAsia"/>
        </w:rPr>
        <w:t xml:space="preserve"> </w:t>
      </w:r>
      <w:r>
        <w:rPr>
          <w:rFonts w:hint="eastAsia"/>
        </w:rPr>
        <w:t>＝</w:t>
      </w:r>
      <w:r>
        <w:rPr>
          <w:rFonts w:hint="eastAsia"/>
        </w:rPr>
        <w:t xml:space="preserve"> </w:t>
      </w:r>
      <w:r>
        <w:rPr>
          <w:rFonts w:hint="eastAsia"/>
        </w:rPr>
        <w:t>汲取人口</w:t>
      </w:r>
      <w:r>
        <w:rPr>
          <w:rFonts w:hint="eastAsia"/>
        </w:rPr>
        <w:t xml:space="preserve"> </w:t>
      </w:r>
      <w:r>
        <w:rPr>
          <w:rFonts w:hint="eastAsia"/>
        </w:rPr>
        <w:t>－</w:t>
      </w:r>
      <w:r>
        <w:rPr>
          <w:rFonts w:hint="eastAsia"/>
        </w:rPr>
        <w:t xml:space="preserve"> </w:t>
      </w:r>
      <w:r>
        <w:rPr>
          <w:rFonts w:hint="eastAsia"/>
        </w:rPr>
        <w:t>避難所内避難者数</w:t>
      </w:r>
      <w:r>
        <w:rPr>
          <w:rFonts w:hint="eastAsia"/>
        </w:rPr>
        <w:t xml:space="preserve"> </w:t>
      </w:r>
      <w:r>
        <w:rPr>
          <w:rFonts w:hint="eastAsia"/>
        </w:rPr>
        <w:t>×（汲取人口</w:t>
      </w:r>
      <w:r>
        <w:rPr>
          <w:rFonts w:hint="eastAsia"/>
        </w:rPr>
        <w:t xml:space="preserve"> </w:t>
      </w:r>
      <w:r>
        <w:rPr>
          <w:rFonts w:hint="eastAsia"/>
        </w:rPr>
        <w:t>／</w:t>
      </w:r>
      <w:r>
        <w:rPr>
          <w:rFonts w:hint="eastAsia"/>
        </w:rPr>
        <w:t xml:space="preserve"> </w:t>
      </w:r>
      <w:r>
        <w:rPr>
          <w:rFonts w:hint="eastAsia"/>
        </w:rPr>
        <w:t>総人口）</w:t>
      </w:r>
    </w:p>
    <w:p>
      <w:pPr>
        <w:pStyle w:val="0"/>
        <w:ind w:firstLine="840" w:firstLineChars="400"/>
        <w:rPr>
          <w:rFonts w:hint="default" w:ascii="HG丸ｺﾞｼｯｸM-PRO" w:hAnsi="HG丸ｺﾞｼｯｸM-PRO" w:eastAsia="HG丸ｺﾞｼｯｸM-PRO"/>
        </w:rPr>
      </w:pPr>
    </w:p>
    <w:p>
      <w:pPr>
        <w:pStyle w:val="3"/>
        <w:rPr>
          <w:rFonts w:hint="default"/>
        </w:rPr>
      </w:pPr>
      <w:r>
        <w:rPr>
          <w:rFonts w:hint="eastAsia"/>
        </w:rPr>
        <w:t>設定数値</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避難者数（単位：人）</w:t>
      </w:r>
    </w:p>
    <w:tbl>
      <w:tblPr>
        <w:tblStyle w:val="11"/>
        <w:tblW w:w="7800" w:type="dxa"/>
        <w:jc w:val="center"/>
        <w:tblInd w:w="0" w:type="dxa"/>
        <w:tblLayout w:type="fixed"/>
        <w:tblCellMar>
          <w:left w:w="99" w:type="dxa"/>
          <w:right w:w="99" w:type="dxa"/>
        </w:tblCellMar>
        <w:tblLook w:firstRow="1" w:lastRow="0" w:firstColumn="1" w:lastColumn="0" w:noHBand="0" w:noVBand="1" w:val="04A0"/>
      </w:tblPr>
      <w:tblGrid>
        <w:gridCol w:w="1300"/>
        <w:gridCol w:w="1036"/>
        <w:gridCol w:w="1366"/>
        <w:gridCol w:w="1366"/>
        <w:gridCol w:w="1366"/>
        <w:gridCol w:w="1366"/>
      </w:tblGrid>
      <w:tr>
        <w:trPr>
          <w:trHeight w:val="450" w:hRule="atLeast"/>
        </w:trPr>
        <w:tc>
          <w:tcPr>
            <w:tcW w:w="1300" w:type="dxa"/>
            <w:vMerge w:val="restart"/>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　</w:t>
            </w:r>
          </w:p>
        </w:tc>
        <w:tc>
          <w:tcPr>
            <w:tcW w:w="6500" w:type="dxa"/>
            <w:gridSpan w:val="5"/>
            <w:tcBorders>
              <w:top w:val="single" w:color="auto" w:sz="4" w:space="0"/>
              <w:left w:val="single" w:color="auto" w:sz="4" w:space="0"/>
              <w:bottom w:val="single" w:color="auto" w:sz="4" w:space="0"/>
              <w:right w:val="nil"/>
              <w:tl2br w:val="nil"/>
              <w:tr2bl w:val="nil"/>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時期区分</w:t>
            </w:r>
          </w:p>
        </w:tc>
      </w:tr>
      <w:tr>
        <w:trPr>
          <w:trHeight w:val="450" w:hRule="atLeast"/>
        </w:trPr>
        <w:tc>
          <w:tcPr>
            <w:tcW w:w="1300" w:type="dxa"/>
            <w:vMerge w:val="continue"/>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22"/>
              </w:rPr>
            </w:pPr>
          </w:p>
        </w:tc>
        <w:tc>
          <w:tcPr>
            <w:tcW w:w="103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日後</w:t>
            </w:r>
          </w:p>
        </w:tc>
        <w:tc>
          <w:tcPr>
            <w:tcW w:w="136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週間後</w:t>
            </w:r>
          </w:p>
        </w:tc>
        <w:tc>
          <w:tcPr>
            <w:tcW w:w="136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2</w:t>
            </w:r>
            <w:r>
              <w:rPr>
                <w:rFonts w:hint="eastAsia" w:ascii="HG丸ｺﾞｼｯｸM-PRO" w:hAnsi="HG丸ｺﾞｼｯｸM-PRO" w:eastAsia="HG丸ｺﾞｼｯｸM-PRO"/>
                <w:color w:val="000000"/>
                <w:kern w:val="0"/>
                <w:sz w:val="22"/>
              </w:rPr>
              <w:t>週間後</w:t>
            </w:r>
          </w:p>
        </w:tc>
        <w:tc>
          <w:tcPr>
            <w:tcW w:w="136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4</w:t>
            </w:r>
            <w:r>
              <w:rPr>
                <w:rFonts w:hint="eastAsia" w:ascii="HG丸ｺﾞｼｯｸM-PRO" w:hAnsi="HG丸ｺﾞｼｯｸM-PRO" w:eastAsia="HG丸ｺﾞｼｯｸM-PRO"/>
                <w:color w:val="000000"/>
                <w:kern w:val="0"/>
                <w:sz w:val="22"/>
              </w:rPr>
              <w:t>週間後</w:t>
            </w:r>
          </w:p>
        </w:tc>
        <w:tc>
          <w:tcPr>
            <w:tcW w:w="1366" w:type="dxa"/>
            <w:tcBorders>
              <w:top w:val="single" w:color="auto" w:sz="4" w:space="0"/>
              <w:left w:val="nil"/>
              <w:bottom w:val="single" w:color="auto" w:sz="4" w:space="0"/>
              <w:right w:val="nil"/>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ヶ月後</w:t>
            </w:r>
          </w:p>
        </w:tc>
      </w:tr>
      <w:tr>
        <w:trPr>
          <w:trHeight w:val="450" w:hRule="atLeast"/>
        </w:trPr>
        <w:tc>
          <w:tcPr>
            <w:tcW w:w="1300" w:type="dxa"/>
            <w:tcBorders>
              <w:top w:val="nil"/>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避難所内</w:t>
            </w:r>
          </w:p>
        </w:tc>
        <w:tc>
          <w:tcPr>
            <w:tcW w:w="10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180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940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850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360</w:t>
            </w:r>
          </w:p>
        </w:tc>
        <w:tc>
          <w:tcPr>
            <w:tcW w:w="1366"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330</w:t>
            </w:r>
          </w:p>
        </w:tc>
      </w:tr>
      <w:tr>
        <w:trPr>
          <w:trHeight w:val="450" w:hRule="atLeast"/>
        </w:trPr>
        <w:tc>
          <w:tcPr>
            <w:tcW w:w="1300" w:type="dxa"/>
            <w:tcBorders>
              <w:top w:val="nil"/>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避難所外</w:t>
            </w:r>
          </w:p>
        </w:tc>
        <w:tc>
          <w:tcPr>
            <w:tcW w:w="10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120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940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1300</w:t>
            </w:r>
          </w:p>
        </w:tc>
        <w:tc>
          <w:tcPr>
            <w:tcW w:w="13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840</w:t>
            </w:r>
          </w:p>
        </w:tc>
        <w:tc>
          <w:tcPr>
            <w:tcW w:w="1366"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780</w:t>
            </w:r>
          </w:p>
        </w:tc>
      </w:tr>
    </w:tbl>
    <w:p>
      <w:pPr>
        <w:pStyle w:val="0"/>
        <w:numPr>
          <w:ilvl w:val="2"/>
          <w:numId w:val="0"/>
        </w:numPr>
        <w:ind w:left="945" w:leftChars="45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出典：「千葉県地震被害想定調査」（平成２６・２７年度、千葉県）</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汚水処理形態別人口（単位：人）</w:t>
      </w:r>
    </w:p>
    <w:tbl>
      <w:tblPr>
        <w:tblStyle w:val="11"/>
        <w:tblW w:w="4040" w:type="dxa"/>
        <w:jc w:val="center"/>
        <w:tblInd w:w="0" w:type="dxa"/>
        <w:tblLayout w:type="fixed"/>
        <w:tblCellMar>
          <w:left w:w="99" w:type="dxa"/>
          <w:right w:w="99" w:type="dxa"/>
        </w:tblCellMar>
        <w:tblLook w:firstRow="1" w:lastRow="0" w:firstColumn="1" w:lastColumn="0" w:noHBand="0" w:noVBand="1" w:val="04A0"/>
      </w:tblPr>
      <w:tblGrid>
        <w:gridCol w:w="1080"/>
        <w:gridCol w:w="1360"/>
        <w:gridCol w:w="1600"/>
      </w:tblGrid>
      <w:tr>
        <w:trPr>
          <w:trHeight w:val="450" w:hRule="atLeast"/>
        </w:trPr>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総人口</w:t>
            </w:r>
          </w:p>
        </w:tc>
        <w:tc>
          <w:tcPr>
            <w:tcW w:w="1360"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水洗化人口</w:t>
            </w:r>
          </w:p>
        </w:tc>
        <w:tc>
          <w:tcPr>
            <w:tcW w:w="1600" w:type="dxa"/>
            <w:tcBorders>
              <w:top w:val="single" w:color="auto" w:sz="4" w:space="0"/>
              <w:left w:val="nil"/>
              <w:bottom w:val="single" w:color="auto" w:sz="4" w:space="0"/>
              <w:right w:val="nil"/>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非水洗化人口</w:t>
            </w:r>
          </w:p>
        </w:tc>
      </w:tr>
      <w:tr>
        <w:trPr>
          <w:trHeight w:val="450" w:hRule="atLeast"/>
        </w:trPr>
        <w:tc>
          <w:tcPr>
            <w:tcW w:w="10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49,686</w:t>
            </w:r>
          </w:p>
        </w:tc>
        <w:tc>
          <w:tcPr>
            <w:tcW w:w="13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46,258</w:t>
            </w:r>
          </w:p>
        </w:tc>
        <w:tc>
          <w:tcPr>
            <w:tcW w:w="1600"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3,428</w:t>
            </w:r>
          </w:p>
        </w:tc>
      </w:tr>
    </w:tbl>
    <w:p>
      <w:pPr>
        <w:pStyle w:val="0"/>
        <w:numPr>
          <w:ilvl w:val="2"/>
          <w:numId w:val="0"/>
        </w:numPr>
        <w:ind w:left="2835" w:leftChars="1350"/>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rPr>
        <w:t>出典：「一般廃棄物処理事業実態調査」（平成３０年、環境省）</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上水道機能支障率（単位：</w:t>
      </w:r>
      <w:r>
        <w:rPr>
          <w:rFonts w:hint="eastAsia" w:ascii="HG丸ｺﾞｼｯｸM-PRO" w:hAnsi="HG丸ｺﾞｼｯｸM-PRO" w:eastAsia="HG丸ｺﾞｼｯｸM-PRO"/>
        </w:rPr>
        <w:t>%</w:t>
      </w:r>
      <w:r>
        <w:rPr>
          <w:rFonts w:hint="eastAsia" w:ascii="HG丸ｺﾞｼｯｸM-PRO" w:hAnsi="HG丸ｺﾞｼｯｸM-PRO" w:eastAsia="HG丸ｺﾞｼｯｸM-PRO"/>
        </w:rPr>
        <w:t>）</w:t>
      </w:r>
    </w:p>
    <w:tbl>
      <w:tblPr>
        <w:tblStyle w:val="11"/>
        <w:tblW w:w="5400" w:type="dxa"/>
        <w:jc w:val="center"/>
        <w:tblInd w:w="0" w:type="dxa"/>
        <w:tblLayout w:type="fixed"/>
        <w:tblCellMar>
          <w:left w:w="99" w:type="dxa"/>
          <w:right w:w="99" w:type="dxa"/>
        </w:tblCellMar>
        <w:tblLook w:firstRow="1" w:lastRow="0" w:firstColumn="1" w:lastColumn="0" w:noHBand="0" w:noVBand="1" w:val="04A0"/>
      </w:tblPr>
      <w:tblGrid>
        <w:gridCol w:w="1080"/>
        <w:gridCol w:w="1080"/>
        <w:gridCol w:w="1080"/>
        <w:gridCol w:w="1080"/>
        <w:gridCol w:w="1080"/>
      </w:tblGrid>
      <w:tr>
        <w:trPr>
          <w:trHeight w:val="450" w:hRule="atLeast"/>
        </w:trPr>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直後</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日後</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週間後</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2</w:t>
            </w:r>
            <w:r>
              <w:rPr>
                <w:rFonts w:hint="eastAsia" w:ascii="HG丸ｺﾞｼｯｸM-PRO" w:hAnsi="HG丸ｺﾞｼｯｸM-PRO" w:eastAsia="HG丸ｺﾞｼｯｸM-PRO"/>
                <w:color w:val="000000"/>
                <w:kern w:val="0"/>
                <w:sz w:val="22"/>
              </w:rPr>
              <w:t>週間後</w:t>
            </w:r>
          </w:p>
        </w:tc>
        <w:tc>
          <w:tcPr>
            <w:tcW w:w="1080" w:type="dxa"/>
            <w:tcBorders>
              <w:top w:val="single" w:color="auto" w:sz="4" w:space="0"/>
              <w:left w:val="nil"/>
              <w:bottom w:val="single" w:color="auto" w:sz="4" w:space="0"/>
              <w:right w:val="nil"/>
              <w:tl2br w:val="none" w:color="auto" w:sz="0" w:space="0"/>
              <w:tr2bl w:val="none" w:color="auto" w:sz="0" w:space="0"/>
            </w:tcBorders>
            <w:shd w:val="clear" w:color="000000" w:fill="F2F2F2"/>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w:t>
            </w:r>
            <w:r>
              <w:rPr>
                <w:rFonts w:hint="eastAsia" w:ascii="HG丸ｺﾞｼｯｸM-PRO" w:hAnsi="HG丸ｺﾞｼｯｸM-PRO" w:eastAsia="HG丸ｺﾞｼｯｸM-PRO"/>
                <w:color w:val="000000"/>
                <w:kern w:val="0"/>
                <w:sz w:val="22"/>
              </w:rPr>
              <w:t>ヶ月後</w:t>
            </w:r>
          </w:p>
        </w:tc>
      </w:tr>
      <w:tr>
        <w:trPr>
          <w:trHeight w:val="450" w:hRule="atLeast"/>
        </w:trPr>
        <w:tc>
          <w:tcPr>
            <w:tcW w:w="10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24%</w:t>
            </w:r>
          </w:p>
        </w:tc>
        <w:tc>
          <w:tcPr>
            <w:tcW w:w="10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22%</w:t>
            </w:r>
          </w:p>
        </w:tc>
        <w:tc>
          <w:tcPr>
            <w:tcW w:w="10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11%</w:t>
            </w:r>
          </w:p>
        </w:tc>
        <w:tc>
          <w:tcPr>
            <w:tcW w:w="10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6%</w:t>
            </w:r>
          </w:p>
        </w:tc>
        <w:tc>
          <w:tcPr>
            <w:tcW w:w="1080"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kern w:val="0"/>
                <w:sz w:val="22"/>
              </w:rPr>
            </w:pPr>
            <w:r>
              <w:rPr>
                <w:rFonts w:hint="eastAsia" w:ascii="HG丸ｺﾞｼｯｸM-PRO" w:hAnsi="HG丸ｺﾞｼｯｸM-PRO" w:eastAsia="HG丸ｺﾞｼｯｸM-PRO"/>
                <w:color w:val="000000"/>
                <w:kern w:val="0"/>
                <w:sz w:val="22"/>
              </w:rPr>
              <w:t>2%</w:t>
            </w:r>
          </w:p>
        </w:tc>
      </w:tr>
    </w:tbl>
    <w:p>
      <w:pPr>
        <w:pStyle w:val="0"/>
        <w:numPr>
          <w:ilvl w:val="2"/>
          <w:numId w:val="0"/>
        </w:numPr>
        <w:ind w:left="2100" w:leftChars="1000"/>
        <w:rPr>
          <w:rFonts w:hint="default" w:ascii="HG丸ｺﾞｼｯｸM-PRO" w:hAnsi="HG丸ｺﾞｼｯｸM-PRO" w:eastAsia="HG丸ｺﾞｼｯｸM-PRO"/>
        </w:rPr>
      </w:pPr>
      <w:r>
        <w:rPr>
          <w:rFonts w:hint="eastAsia" w:ascii="HG丸ｺﾞｼｯｸM-PRO" w:hAnsi="HG丸ｺﾞｼｯｸM-PRO" w:eastAsia="HG丸ｺﾞｼｯｸM-PRO"/>
        </w:rPr>
        <w:t>出典：「平成２６・２７年度千葉県地震被害想定調査」（平成２８年３月、千葉県）</w:t>
      </w:r>
    </w:p>
    <w:p>
      <w:pPr>
        <w:pStyle w:val="0"/>
        <w:rPr>
          <w:rFonts w:hint="default" w:ascii="HG丸ｺﾞｼｯｸM-PRO" w:hAnsi="HG丸ｺﾞｼｯｸM-PRO" w:eastAsia="HG丸ｺﾞｼｯｸM-PRO"/>
        </w:rPr>
      </w:pPr>
    </w:p>
    <w:p>
      <w:pPr>
        <w:pStyle w:val="3"/>
        <w:rPr>
          <w:rFonts w:hint="default"/>
        </w:rPr>
      </w:pPr>
      <w:r>
        <w:rPr>
          <w:rFonts w:hint="eastAsia"/>
        </w:rPr>
        <w:t>推計結果</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し尿収集必要量が発災１日後で約１５ｋ</w:t>
      </w:r>
      <w:r>
        <w:rPr>
          <w:rFonts w:hint="eastAsia" w:ascii="HG丸ｺﾞｼｯｸM-PRO" w:hAnsi="HG丸ｺﾞｼｯｸM-PRO" w:eastAsia="HG丸ｺﾞｼｯｸM-PRO"/>
        </w:rPr>
        <w:t>L</w:t>
      </w:r>
      <w:r>
        <w:rPr>
          <w:rFonts w:hint="default" w:ascii="HG丸ｺﾞｼｯｸM-PRO" w:hAnsi="HG丸ｺﾞｼｯｸM-PRO" w:eastAsia="HG丸ｺﾞｼｯｸM-PRO"/>
        </w:rPr>
        <w:t>/</w:t>
      </w:r>
      <w:r>
        <w:rPr>
          <w:rFonts w:hint="eastAsia" w:ascii="HG丸ｺﾞｼｯｸM-PRO" w:hAnsi="HG丸ｺﾞｼｯｸM-PRO" w:eastAsia="HG丸ｺﾞｼｯｸM-PRO"/>
        </w:rPr>
        <w:t>日発生する。これは、平時（平成３０年度比）のし尿処理量（約７．５ｋ</w:t>
      </w:r>
      <w:r>
        <w:rPr>
          <w:rFonts w:hint="eastAsia" w:ascii="HG丸ｺﾞｼｯｸM-PRO" w:hAnsi="HG丸ｺﾞｼｯｸM-PRO" w:eastAsia="HG丸ｺﾞｼｯｸM-PRO"/>
        </w:rPr>
        <w:t>L/</w:t>
      </w:r>
      <w:r>
        <w:rPr>
          <w:rFonts w:hint="eastAsia" w:ascii="HG丸ｺﾞｼｯｸM-PRO" w:hAnsi="HG丸ｺﾞｼｯｸM-PRO" w:eastAsia="HG丸ｺﾞｼｯｸM-PRO"/>
        </w:rPr>
        <w:t>日）に比べて約２倍となるため、その円滑かつ迅速な処理が課題となる。</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発災直後は、断水や避難者の集中により仮設トイレが不足する可能性が高い。</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し尿収集はバキュームカー等の専用車両で行うため、車両台数の不足や平時と異なる収集運搬ルート等が課題となる。</w:t>
      </w:r>
    </w:p>
    <w:p>
      <w:pPr>
        <w:pStyle w:val="0"/>
        <w:widowControl w:val="1"/>
        <w:jc w:val="left"/>
        <w:rPr>
          <w:rFonts w:hint="default"/>
        </w:rPr>
      </w:pPr>
      <w:r>
        <w:rPr>
          <w:rFonts w:hint="default"/>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巻末図表４　し尿収集必要量の推計結果</w:t>
            </w:r>
          </w:p>
        </w:tc>
      </w:tr>
    </w:tbl>
    <w:p>
      <w:pPr>
        <w:pStyle w:val="0"/>
        <w:jc w:val="center"/>
        <w:rPr>
          <w:rFonts w:hint="default" w:ascii="HG丸ｺﾞｼｯｸM-PRO" w:hAnsi="HG丸ｺﾞｼｯｸM-PRO" w:eastAsia="HG丸ｺﾞｼｯｸM-PRO"/>
        </w:rPr>
      </w:pPr>
    </w:p>
    <w:tbl>
      <w:tblPr>
        <w:tblStyle w:val="45"/>
        <w:tblW w:w="5387"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2693"/>
        <w:gridCol w:w="2694"/>
      </w:tblGrid>
      <w:tr>
        <w:trPr/>
        <w:tc>
          <w:tcPr>
            <w:tcW w:w="5387" w:type="dxa"/>
            <w:gridSpan w:val="2"/>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し尿収集必要量（ｋ</w:t>
            </w:r>
            <w:r>
              <w:rPr>
                <w:rFonts w:hint="eastAsia" w:ascii="HG丸ｺﾞｼｯｸM-PRO" w:hAnsi="HG丸ｺﾞｼｯｸM-PRO" w:eastAsia="HG丸ｺﾞｼｯｸM-PRO"/>
              </w:rPr>
              <w:t>L/</w:t>
            </w:r>
            <w:r>
              <w:rPr>
                <w:rFonts w:hint="eastAsia" w:ascii="HG丸ｺﾞｼｯｸM-PRO" w:hAnsi="HG丸ｺﾞｼｯｸM-PRO" w:eastAsia="HG丸ｺﾞｼｯｸM-PRO"/>
              </w:rPr>
              <w:t>日）</w:t>
            </w:r>
          </w:p>
        </w:tc>
      </w:tr>
      <w:tr>
        <w:trPr/>
        <w:tc>
          <w:tcPr>
            <w:tcW w:w="2693"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初動期</w:t>
            </w:r>
          </w:p>
        </w:tc>
        <w:tc>
          <w:tcPr>
            <w:tcW w:w="2694"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応急対応期</w:t>
            </w:r>
          </w:p>
        </w:tc>
      </w:tr>
      <w:tr>
        <w:trPr/>
        <w:tc>
          <w:tcPr>
            <w:tcW w:w="2693"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１４．７</w:t>
            </w:r>
          </w:p>
        </w:tc>
        <w:tc>
          <w:tcPr>
            <w:tcW w:w="2694"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１１．６</w:t>
            </w:r>
          </w:p>
        </w:tc>
      </w:tr>
    </w:tbl>
    <w:p>
      <w:pPr>
        <w:pStyle w:val="0"/>
        <w:widowControl w:val="1"/>
        <w:tabs>
          <w:tab w:val="left" w:leader="none" w:pos="3094"/>
        </w:tabs>
        <w:ind w:firstLine="2160" w:firstLineChars="120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※初動期：発災から１日後、応急対応期：発災から１週間後</w:t>
      </w:r>
    </w:p>
    <w:p>
      <w:pPr>
        <w:pStyle w:val="0"/>
        <w:rPr>
          <w:rFonts w:hint="default" w:ascii="HG丸ｺﾞｼｯｸM-PRO" w:hAnsi="HG丸ｺﾞｼｯｸM-PRO" w:eastAsia="HG丸ｺﾞｼｯｸM-PRO"/>
        </w:rPr>
      </w:pPr>
    </w:p>
    <w:p>
      <w:pPr>
        <w:rPr>
          <w:rFonts w:hint="default"/>
        </w:rPr>
        <w:sectPr>
          <w:headerReference r:id="rId25" w:type="default"/>
          <w:footerReference r:id="rId26" w:type="default"/>
          <w:pgSz w:w="11906" w:h="16838"/>
          <w:pgMar w:top="1440" w:right="1080" w:bottom="1440" w:left="1080" w:header="851" w:footer="992" w:gutter="0"/>
          <w:pgNumType w:start="1"/>
          <w:cols w:space="720"/>
          <w:textDirection w:val="lrTb"/>
          <w:docGrid w:type="lines" w:linePitch="360"/>
        </w:sect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資料２　災害廃棄物の処理可能量の推計方法</w:t>
            </w:r>
          </w:p>
        </w:tc>
      </w:tr>
    </w:tbl>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１　焼却施設</w:t>
            </w:r>
          </w:p>
        </w:tc>
      </w:tr>
    </w:tbl>
    <w:p>
      <w:pPr>
        <w:pStyle w:val="3"/>
        <w:numPr>
          <w:ilvl w:val="2"/>
          <w:numId w:val="21"/>
        </w:numPr>
        <w:rPr>
          <w:rFonts w:hint="default"/>
        </w:rPr>
      </w:pPr>
      <w:r>
        <w:rPr>
          <w:rFonts w:hint="eastAsia"/>
        </w:rPr>
        <w:t>推計式</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災害廃棄物の処理可能量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年間処理実績（トン／年）</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分担率（％）</w:t>
      </w:r>
    </w:p>
    <w:p>
      <w:pPr>
        <w:pStyle w:val="0"/>
        <w:rPr>
          <w:rFonts w:hint="default"/>
        </w:rPr>
      </w:pPr>
    </w:p>
    <w:p>
      <w:pPr>
        <w:pStyle w:val="3"/>
        <w:rPr>
          <w:rFonts w:hint="default"/>
        </w:rPr>
      </w:pPr>
      <w:r>
        <w:rPr>
          <w:rFonts w:hint="eastAsia"/>
        </w:rPr>
        <w:t>設定数値</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年間処理実績（単位：トン）</w:t>
      </w:r>
    </w:p>
    <w:tbl>
      <w:tblPr>
        <w:tblStyle w:val="45"/>
        <w:tblW w:w="6095" w:type="dxa"/>
        <w:jc w:val="center"/>
        <w:tblInd w:w="0" w:type="dxa"/>
        <w:tblLayout w:type="fixed"/>
        <w:tblLook w:firstRow="1" w:lastRow="0" w:firstColumn="1" w:lastColumn="0" w:noHBand="0" w:noVBand="1" w:val="04A0"/>
      </w:tblPr>
      <w:tblGrid>
        <w:gridCol w:w="1559"/>
        <w:gridCol w:w="1510"/>
        <w:gridCol w:w="1559"/>
        <w:gridCol w:w="1467"/>
      </w:tblGrid>
      <w:tr>
        <w:trPr>
          <w:trHeight w:val="375" w:hRule="atLeast"/>
        </w:trPr>
        <w:tc>
          <w:tcPr>
            <w:tcW w:w="1559" w:type="dxa"/>
            <w:tcBorders>
              <w:top w:val="single" w:color="auto" w:sz="4" w:space="0"/>
              <w:left w:val="nil"/>
              <w:bottom w:val="single" w:color="auto" w:sz="4" w:space="0"/>
              <w:right w:val="single" w:color="auto" w:sz="4" w:space="0"/>
              <w:tl2br w:val="nil"/>
              <w:tr2bl w:val="nil"/>
            </w:tcBorders>
            <w:shd w:val="clear" w:color="auto" w:themeFill="background1" w:themeFillTint="FF" w:themeFillShade="D9"/>
            <w:vAlign w:val="top"/>
          </w:tcPr>
          <w:p>
            <w:pPr>
              <w:pStyle w:val="0"/>
              <w:jc w:val="center"/>
              <w:rPr>
                <w:rFonts w:hint="default" w:ascii="HG丸ｺﾞｼｯｸM-PRO" w:hAnsi="HG丸ｺﾞｼｯｸM-PRO" w:eastAsia="HG丸ｺﾞｼｯｸM-PRO"/>
                <w:highlight w:val="none"/>
              </w:rPr>
            </w:pPr>
            <w:r>
              <w:rPr>
                <w:rFonts w:hint="eastAsia" w:ascii="HG丸ｺﾞｼｯｸM-PRO" w:hAnsi="HG丸ｺﾞｼｯｸM-PRO" w:eastAsia="HG丸ｺﾞｼｯｸM-PRO"/>
                <w:highlight w:val="none"/>
              </w:rPr>
              <w:t>平成</w:t>
            </w:r>
            <w:r>
              <w:rPr>
                <w:rFonts w:hint="eastAsia" w:ascii="HG丸ｺﾞｼｯｸM-PRO" w:hAnsi="HG丸ｺﾞｼｯｸM-PRO" w:eastAsia="HG丸ｺﾞｼｯｸM-PRO"/>
                <w:highlight w:val="none"/>
              </w:rPr>
              <w:t>28</w:t>
            </w:r>
            <w:r>
              <w:rPr>
                <w:rFonts w:hint="eastAsia" w:ascii="HG丸ｺﾞｼｯｸM-PRO" w:hAnsi="HG丸ｺﾞｼｯｸM-PRO" w:eastAsia="HG丸ｺﾞｼｯｸM-PRO"/>
                <w:highlight w:val="none"/>
              </w:rPr>
              <w:t>年度</w:t>
            </w:r>
          </w:p>
        </w:tc>
        <w:tc>
          <w:tcPr>
            <w:tcW w:w="151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highlight w:val="none"/>
              </w:rPr>
            </w:pPr>
            <w:r>
              <w:rPr>
                <w:rFonts w:hint="eastAsia" w:ascii="HG丸ｺﾞｼｯｸM-PRO" w:hAnsi="HG丸ｺﾞｼｯｸM-PRO" w:eastAsia="HG丸ｺﾞｼｯｸM-PRO"/>
                <w:highlight w:val="none"/>
              </w:rPr>
              <w:t>平成</w:t>
            </w:r>
            <w:r>
              <w:rPr>
                <w:rFonts w:hint="eastAsia" w:ascii="HG丸ｺﾞｼｯｸM-PRO" w:hAnsi="HG丸ｺﾞｼｯｸM-PRO" w:eastAsia="HG丸ｺﾞｼｯｸM-PRO"/>
                <w:highlight w:val="none"/>
              </w:rPr>
              <w:t>29</w:t>
            </w:r>
            <w:r>
              <w:rPr>
                <w:rFonts w:hint="eastAsia" w:ascii="HG丸ｺﾞｼｯｸM-PRO" w:hAnsi="HG丸ｺﾞｼｯｸM-PRO" w:eastAsia="HG丸ｺﾞｼｯｸM-PRO"/>
                <w:highlight w:val="none"/>
              </w:rPr>
              <w:t>年度</w:t>
            </w:r>
          </w:p>
        </w:tc>
        <w:tc>
          <w:tcPr>
            <w:tcW w:w="1559"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highlight w:val="none"/>
              </w:rPr>
            </w:pPr>
            <w:r>
              <w:rPr>
                <w:rFonts w:hint="eastAsia" w:ascii="HG丸ｺﾞｼｯｸM-PRO" w:hAnsi="HG丸ｺﾞｼｯｸM-PRO" w:eastAsia="HG丸ｺﾞｼｯｸM-PRO"/>
                <w:highlight w:val="none"/>
              </w:rPr>
              <w:t>平成</w:t>
            </w:r>
            <w:r>
              <w:rPr>
                <w:rFonts w:hint="eastAsia" w:ascii="HG丸ｺﾞｼｯｸM-PRO" w:hAnsi="HG丸ｺﾞｼｯｸM-PRO" w:eastAsia="HG丸ｺﾞｼｯｸM-PRO"/>
                <w:highlight w:val="none"/>
              </w:rPr>
              <w:t>30</w:t>
            </w:r>
            <w:r>
              <w:rPr>
                <w:rFonts w:hint="eastAsia" w:ascii="HG丸ｺﾞｼｯｸM-PRO" w:hAnsi="HG丸ｺﾞｼｯｸM-PRO" w:eastAsia="HG丸ｺﾞｼｯｸM-PRO"/>
                <w:highlight w:val="none"/>
              </w:rPr>
              <w:t>年度</w:t>
            </w:r>
          </w:p>
        </w:tc>
        <w:tc>
          <w:tcPr>
            <w:tcW w:w="1467" w:type="dxa"/>
            <w:tcBorders>
              <w:top w:val="single" w:color="auto" w:sz="4" w:space="0"/>
              <w:left w:val="single" w:color="auto" w:sz="4" w:space="0"/>
              <w:bottom w:val="single" w:color="auto" w:sz="4" w:space="0"/>
              <w:right w:val="nil"/>
              <w:tl2br w:val="nil"/>
              <w:tr2bl w:val="nil"/>
            </w:tcBorders>
            <w:shd w:val="clear" w:color="auto" w:themeFill="background1" w:themeFillTint="FF" w:themeFillShade="D9"/>
            <w:vAlign w:val="top"/>
          </w:tcPr>
          <w:p>
            <w:pPr>
              <w:pStyle w:val="0"/>
              <w:jc w:val="center"/>
              <w:rPr>
                <w:rFonts w:hint="default" w:ascii="HG丸ｺﾞｼｯｸM-PRO" w:hAnsi="HG丸ｺﾞｼｯｸM-PRO" w:eastAsia="HG丸ｺﾞｼｯｸM-PRO"/>
                <w:highlight w:val="none"/>
              </w:rPr>
            </w:pPr>
            <w:r>
              <w:rPr>
                <w:rFonts w:hint="eastAsia" w:ascii="HG丸ｺﾞｼｯｸM-PRO" w:hAnsi="HG丸ｺﾞｼｯｸM-PRO" w:eastAsia="HG丸ｺﾞｼｯｸM-PRO"/>
                <w:highlight w:val="none"/>
              </w:rPr>
              <w:t>３ヶ年平均</w:t>
            </w:r>
          </w:p>
        </w:tc>
      </w:tr>
      <w:tr>
        <w:trPr>
          <w:trHeight w:val="375" w:hRule="atLeast"/>
        </w:trPr>
        <w:tc>
          <w:tcPr>
            <w:tcW w:w="1559" w:type="dxa"/>
            <w:tcBorders>
              <w:top w:val="single" w:color="auto" w:sz="4" w:space="0"/>
              <w:left w:val="nil"/>
              <w:bottom w:val="single" w:color="auto" w:sz="4" w:space="0"/>
              <w:right w:val="single" w:color="auto" w:sz="4" w:space="0"/>
              <w:tl2br w:val="nil"/>
              <w:tr2bl w:val="nil"/>
            </w:tcBorders>
            <w:vAlign w:val="top"/>
          </w:tcPr>
          <w:p>
            <w:pPr>
              <w:pStyle w:val="0"/>
              <w:jc w:val="center"/>
              <w:rPr>
                <w:rFonts w:hint="default" w:ascii="HG丸ｺﾞｼｯｸM-PRO" w:hAnsi="HG丸ｺﾞｼｯｸM-PRO" w:eastAsia="HG丸ｺﾞｼｯｸM-PRO"/>
                <w:highlight w:val="none"/>
              </w:rPr>
            </w:pPr>
            <w:r>
              <w:rPr>
                <w:rFonts w:hint="eastAsia" w:ascii="HG丸ｺﾞｼｯｸM-PRO" w:hAnsi="HG丸ｺﾞｼｯｸM-PRO" w:eastAsia="HG丸ｺﾞｼｯｸM-PRO"/>
                <w:highlight w:val="none"/>
              </w:rPr>
              <w:t>45,235</w:t>
            </w:r>
          </w:p>
        </w:tc>
        <w:tc>
          <w:tcPr>
            <w:tcW w:w="151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highlight w:val="none"/>
              </w:rPr>
            </w:pPr>
            <w:r>
              <w:rPr>
                <w:rFonts w:hint="eastAsia" w:ascii="HG丸ｺﾞｼｯｸM-PRO" w:hAnsi="HG丸ｺﾞｼｯｸM-PRO" w:eastAsia="HG丸ｺﾞｼｯｸM-PRO"/>
                <w:highlight w:val="none"/>
              </w:rPr>
              <w:t>43,545</w:t>
            </w:r>
          </w:p>
        </w:tc>
        <w:tc>
          <w:tcPr>
            <w:tcW w:w="1559"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highlight w:val="none"/>
              </w:rPr>
            </w:pPr>
            <w:r>
              <w:rPr>
                <w:rFonts w:hint="eastAsia" w:ascii="HG丸ｺﾞｼｯｸM-PRO" w:hAnsi="HG丸ｺﾞｼｯｸM-PRO" w:eastAsia="HG丸ｺﾞｼｯｸM-PRO"/>
                <w:highlight w:val="none"/>
              </w:rPr>
              <w:t>42,6</w:t>
            </w:r>
            <w:r>
              <w:rPr>
                <w:rFonts w:hint="eastAsia" w:ascii="HG丸ｺﾞｼｯｸM-PRO" w:hAnsi="HG丸ｺﾞｼｯｸM-PRO" w:eastAsia="HG丸ｺﾞｼｯｸM-PRO"/>
                <w:highlight w:val="none"/>
              </w:rPr>
              <w:t>６</w:t>
            </w:r>
            <w:r>
              <w:rPr>
                <w:rFonts w:hint="eastAsia" w:ascii="HG丸ｺﾞｼｯｸM-PRO" w:hAnsi="HG丸ｺﾞｼｯｸM-PRO" w:eastAsia="HG丸ｺﾞｼｯｸM-PRO"/>
                <w:highlight w:val="none"/>
              </w:rPr>
              <w:t>0</w:t>
            </w:r>
          </w:p>
        </w:tc>
        <w:tc>
          <w:tcPr>
            <w:tcW w:w="1467" w:type="dxa"/>
            <w:tcBorders>
              <w:top w:val="single" w:color="auto" w:sz="4" w:space="0"/>
              <w:left w:val="single" w:color="auto" w:sz="4" w:space="0"/>
              <w:bottom w:val="single" w:color="auto" w:sz="4" w:space="0"/>
              <w:right w:val="nil"/>
              <w:tl2br w:val="nil"/>
              <w:tr2bl w:val="nil"/>
            </w:tcBorders>
            <w:shd w:val="clear" w:color="auto" w:themeFill="accent4" w:themeFillTint="66" w:themeFillShade="FF"/>
            <w:vAlign w:val="top"/>
          </w:tcPr>
          <w:p>
            <w:pPr>
              <w:pStyle w:val="0"/>
              <w:jc w:val="center"/>
              <w:rPr>
                <w:rFonts w:hint="default" w:ascii="HG丸ｺﾞｼｯｸM-PRO" w:hAnsi="HG丸ｺﾞｼｯｸM-PRO" w:eastAsia="HG丸ｺﾞｼｯｸM-PRO"/>
                <w:highlight w:val="none"/>
              </w:rPr>
            </w:pPr>
            <w:r>
              <w:rPr>
                <w:rFonts w:hint="eastAsia" w:ascii="HG丸ｺﾞｼｯｸM-PRO" w:hAnsi="HG丸ｺﾞｼｯｸM-PRO" w:eastAsia="HG丸ｺﾞｼｯｸM-PRO"/>
                <w:highlight w:val="none"/>
              </w:rPr>
              <w:t>43,8</w:t>
            </w:r>
            <w:r>
              <w:rPr>
                <w:rFonts w:hint="default" w:ascii="HG丸ｺﾞｼｯｸM-PRO" w:hAnsi="HG丸ｺﾞｼｯｸM-PRO" w:eastAsia="HG丸ｺﾞｼｯｸM-PRO"/>
                <w:highlight w:val="none"/>
              </w:rPr>
              <w:t>13</w:t>
            </w:r>
          </w:p>
        </w:tc>
      </w:tr>
    </w:tbl>
    <w:p>
      <w:pPr>
        <w:pStyle w:val="0"/>
        <w:ind w:left="1260" w:leftChars="350" w:hanging="525" w:hangingChars="250"/>
        <w:rPr>
          <w:rFonts w:hint="default" w:ascii="HG丸ｺﾞｼｯｸM-PRO" w:hAnsi="HG丸ｺﾞｼｯｸM-PRO" w:eastAsia="HG丸ｺﾞｼｯｸM-PRO"/>
          <w:sz w:val="22"/>
        </w:rPr>
      </w:pPr>
      <w:r>
        <w:rPr>
          <w:rFonts w:hint="eastAsia" w:ascii="HG丸ｺﾞｼｯｸM-PRO" w:hAnsi="HG丸ｺﾞｼｯｸM-PRO" w:eastAsia="HG丸ｺﾞｼｯｸM-PRO"/>
        </w:rPr>
        <w:t>出典：「一般廃棄物処理事業実態調査」（平成２８・２９・３０年、環境省）　　　　</w:t>
      </w:r>
    </w:p>
    <w:p>
      <w:pPr>
        <w:pStyle w:val="0"/>
        <w:rPr>
          <w:rFonts w:hint="default"/>
        </w:rPr>
      </w:pP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分担率</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災害廃棄物対策指針で示されている下記の３つのシナリオの内、施設の稼働状況に対する負荷を考慮し、施設への負荷影響が低位と高位の中間となる中位シナリオを採用し、分担率を１０％で推計。</w:t>
      </w:r>
    </w:p>
    <w:p>
      <w:pPr>
        <w:pStyle w:val="0"/>
        <w:numPr>
          <w:ilvl w:val="2"/>
          <w:numId w:val="0"/>
        </w:numPr>
        <w:rPr>
          <w:rFonts w:hint="default" w:ascii="HG丸ｺﾞｼｯｸM-PRO" w:hAnsi="HG丸ｺﾞｼｯｸM-PRO" w:eastAsia="HG丸ｺﾞｼｯｸM-PRO"/>
          <w:color w:val="0070C0"/>
        </w:rPr>
      </w:pPr>
    </w:p>
    <w:tbl>
      <w:tblPr>
        <w:tblStyle w:val="11"/>
        <w:tblW w:w="9870" w:type="dxa"/>
        <w:jc w:val="center"/>
        <w:tblInd w:w="0" w:type="dxa"/>
        <w:tblLayout w:type="fixed"/>
        <w:tblCellMar>
          <w:left w:w="0" w:type="dxa"/>
          <w:right w:w="0" w:type="dxa"/>
        </w:tblCellMar>
        <w:tblLook w:firstRow="1" w:lastRow="0" w:firstColumn="1" w:lastColumn="0" w:noHBand="0" w:noVBand="1" w:val="04A0"/>
      </w:tblPr>
      <w:tblGrid>
        <w:gridCol w:w="2625"/>
        <w:gridCol w:w="2405"/>
        <w:gridCol w:w="2435"/>
        <w:gridCol w:w="2405"/>
      </w:tblGrid>
      <w:tr>
        <w:trPr>
          <w:trHeight w:val="450"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項目</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DBDBDB"/>
            <w:tcMar>
              <w:top w:w="0" w:type="dxa"/>
              <w:left w:w="5" w:type="dxa"/>
              <w:bottom w:w="0" w:type="dxa"/>
              <w:right w:w="0" w:type="dxa"/>
            </w:tcMar>
            <w:vAlign w:val="center"/>
          </w:tcPr>
          <w:p>
            <w:pPr>
              <w:pStyle w:val="0"/>
              <w:shd w:val="clear" w:color="auto" w:fill="DBDBDB"/>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低位シナリオ</w:t>
            </w:r>
          </w:p>
        </w:tc>
        <w:tc>
          <w:tcPr>
            <w:tcW w:w="2450" w:type="dxa"/>
            <w:tcBorders>
              <w:top w:val="single" w:color="000000" w:sz="12" w:space="0"/>
              <w:left w:val="single" w:color="000000" w:sz="12" w:space="0"/>
              <w:bottom w:val="single" w:color="000000" w:sz="4" w:space="0"/>
              <w:right w:val="single" w:color="000000" w:sz="12" w:space="0"/>
              <w:tl2br w:val="none" w:color="auto" w:sz="0" w:space="0"/>
              <w:tr2bl w:val="none" w:color="auto" w:sz="0" w:space="0"/>
            </w:tcBorders>
            <w:shd w:val="clear" w:color="auto" w:fill="DBDBDB"/>
            <w:tcMar>
              <w:top w:w="0" w:type="dxa"/>
              <w:left w:w="15" w:type="dxa"/>
              <w:bottom w:w="0" w:type="dxa"/>
              <w:right w:w="15" w:type="dxa"/>
            </w:tcMar>
            <w:vAlign w:val="center"/>
          </w:tcPr>
          <w:p>
            <w:pPr>
              <w:pStyle w:val="0"/>
              <w:shd w:val="clear" w:color="auto" w:fill="DBDBDB"/>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中位シナリオ</w:t>
            </w:r>
          </w:p>
        </w:tc>
        <w:tc>
          <w:tcPr>
            <w:tcW w:w="2420" w:type="dxa"/>
            <w:tcBorders>
              <w:top w:val="single" w:color="000000" w:sz="4" w:space="0"/>
              <w:left w:val="nil"/>
              <w:bottom w:val="single" w:color="000000" w:sz="4" w:space="0"/>
              <w:right w:val="nil"/>
              <w:tl2br w:val="none" w:color="auto" w:sz="0" w:space="0"/>
              <w:tr2bl w:val="none" w:color="auto" w:sz="0" w:space="0"/>
            </w:tcBorders>
            <w:shd w:val="clear" w:color="auto" w:fill="DBDBDB"/>
            <w:tcMar>
              <w:top w:w="0" w:type="dxa"/>
              <w:left w:w="0" w:type="dxa"/>
              <w:bottom w:w="0" w:type="dxa"/>
              <w:right w:w="0" w:type="dxa"/>
            </w:tcMar>
            <w:vAlign w:val="center"/>
          </w:tcPr>
          <w:p>
            <w:pPr>
              <w:pStyle w:val="0"/>
              <w:shd w:val="clear" w:color="auto" w:fill="DBDBDB"/>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高位シナリオ</w:t>
            </w:r>
          </w:p>
        </w:tc>
      </w:tr>
      <w:tr>
        <w:trPr>
          <w:trHeight w:val="450"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rPr>
                <w:rFonts w:hint="default" w:ascii="HG丸ｺﾞｼｯｸM-PRO" w:hAnsi="HG丸ｺﾞｼｯｸM-PRO" w:eastAsia="HG丸ｺﾞｼｯｸM-PRO"/>
              </w:rPr>
            </w:pPr>
            <w:r>
              <w:rPr>
                <w:rFonts w:hint="default" w:ascii="HG丸ｺﾞｼｯｸM-PRO" w:hAnsi="HG丸ｺﾞｼｯｸM-PRO" w:eastAsia="HG丸ｺﾞｼｯｸM-PRO"/>
              </w:rPr>
              <w:t>①</w:t>
            </w:r>
            <w:r>
              <w:rPr>
                <w:rFonts w:hint="default" w:ascii="HG丸ｺﾞｼｯｸM-PRO" w:hAnsi="HG丸ｺﾞｼｯｸM-PRO" w:eastAsia="HG丸ｺﾞｼｯｸM-PRO"/>
              </w:rPr>
              <w:t>稼働年数</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20</w:t>
            </w:r>
            <w:r>
              <w:rPr>
                <w:rFonts w:hint="default" w:ascii="HG丸ｺﾞｼｯｸM-PRO" w:hAnsi="HG丸ｺﾞｼｯｸM-PRO" w:eastAsia="HG丸ｺﾞｼｯｸM-PRO"/>
              </w:rPr>
              <w:t>年超の施設を除外</w:t>
            </w:r>
          </w:p>
        </w:tc>
        <w:tc>
          <w:tcPr>
            <w:tcW w:w="2450" w:type="dxa"/>
            <w:tcBorders>
              <w:top w:val="single" w:color="000000" w:sz="4" w:space="0"/>
              <w:left w:val="single" w:color="000000" w:sz="12" w:space="0"/>
              <w:bottom w:val="single" w:color="000000" w:sz="4" w:space="0"/>
              <w:right w:val="single" w:color="000000" w:sz="12" w:space="0"/>
              <w:tl2br w:val="none" w:color="auto" w:sz="0" w:space="0"/>
              <w:tr2bl w:val="none" w:color="auto" w:sz="0" w:space="0"/>
            </w:tcBorders>
            <w:shd w:val="clear" w:color="auto" w:fill="auto"/>
            <w:tcMar>
              <w:top w:w="0" w:type="dxa"/>
              <w:left w:w="15" w:type="dxa"/>
              <w:bottom w:w="0" w:type="dxa"/>
              <w:right w:w="15"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30</w:t>
            </w:r>
            <w:r>
              <w:rPr>
                <w:rFonts w:hint="default" w:ascii="HG丸ｺﾞｼｯｸM-PRO" w:hAnsi="HG丸ｺﾞｼｯｸM-PRO" w:eastAsia="HG丸ｺﾞｼｯｸM-PRO"/>
              </w:rPr>
              <w:t>年超の施設を除外</w:t>
            </w:r>
          </w:p>
        </w:tc>
        <w:tc>
          <w:tcPr>
            <w:tcW w:w="2420" w:type="dxa"/>
            <w:tcBorders>
              <w:top w:val="single" w:color="000000" w:sz="4" w:space="0"/>
              <w:left w:val="nil"/>
              <w:bottom w:val="single" w:color="000000" w:sz="4" w:space="0"/>
              <w:right w:val="nil"/>
              <w:tl2br w:val="none" w:color="auto" w:sz="0" w:space="0"/>
              <w:tr2bl w:val="none" w:color="auto" w:sz="0" w:space="0"/>
            </w:tcBorders>
            <w:shd w:val="clear" w:color="auto" w:fill="auto"/>
            <w:tcMar>
              <w:top w:w="0" w:type="dxa"/>
              <w:left w:w="0"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制約なし</w:t>
            </w:r>
          </w:p>
        </w:tc>
      </w:tr>
      <w:tr>
        <w:trPr>
          <w:trHeight w:val="675"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rPr>
                <w:rFonts w:hint="default" w:ascii="HG丸ｺﾞｼｯｸM-PRO" w:hAnsi="HG丸ｺﾞｼｯｸM-PRO" w:eastAsia="HG丸ｺﾞｼｯｸM-PRO"/>
              </w:rPr>
            </w:pPr>
            <w:r>
              <w:rPr>
                <w:rFonts w:hint="default" w:ascii="HG丸ｺﾞｼｯｸM-PRO" w:hAnsi="HG丸ｺﾞｼｯｸM-PRO" w:eastAsia="HG丸ｺﾞｼｯｸM-PRO"/>
              </w:rPr>
              <w:t>②</w:t>
            </w:r>
            <w:r>
              <w:rPr>
                <w:rFonts w:hint="default" w:ascii="HG丸ｺﾞｼｯｸM-PRO" w:hAnsi="HG丸ｺﾞｼｯｸM-PRO" w:eastAsia="HG丸ｺﾞｼｯｸM-PRO"/>
              </w:rPr>
              <w:t>処理能力（公称能力）</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100</w:t>
            </w:r>
            <w:r>
              <w:rPr>
                <w:rFonts w:hint="default" w:ascii="HG丸ｺﾞｼｯｸM-PRO" w:hAnsi="HG丸ｺﾞｼｯｸM-PRO" w:eastAsia="HG丸ｺﾞｼｯｸM-PRO"/>
              </w:rPr>
              <w:t>トン／日未満</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の施設を除外</w:t>
            </w:r>
          </w:p>
        </w:tc>
        <w:tc>
          <w:tcPr>
            <w:tcW w:w="2450" w:type="dxa"/>
            <w:tcBorders>
              <w:top w:val="single" w:color="000000" w:sz="4" w:space="0"/>
              <w:left w:val="single" w:color="000000" w:sz="12" w:space="0"/>
              <w:bottom w:val="single" w:color="000000" w:sz="4" w:space="0"/>
              <w:right w:val="single" w:color="000000" w:sz="12" w:space="0"/>
              <w:tl2br w:val="none" w:color="auto" w:sz="0" w:space="0"/>
              <w:tr2bl w:val="none" w:color="auto" w:sz="0" w:space="0"/>
            </w:tcBorders>
            <w:shd w:val="clear" w:color="auto" w:fill="auto"/>
            <w:tcMar>
              <w:top w:w="0" w:type="dxa"/>
              <w:left w:w="15" w:type="dxa"/>
              <w:bottom w:w="0" w:type="dxa"/>
              <w:right w:w="15"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50</w:t>
            </w:r>
            <w:r>
              <w:rPr>
                <w:rFonts w:hint="default" w:ascii="HG丸ｺﾞｼｯｸM-PRO" w:hAnsi="HG丸ｺﾞｼｯｸM-PRO" w:eastAsia="HG丸ｺﾞｼｯｸM-PRO"/>
              </w:rPr>
              <w:t>トン／日未満</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の施設を除外</w:t>
            </w:r>
          </w:p>
        </w:tc>
        <w:tc>
          <w:tcPr>
            <w:tcW w:w="2420" w:type="dxa"/>
            <w:tcBorders>
              <w:top w:val="single" w:color="000000" w:sz="4" w:space="0"/>
              <w:left w:val="nil"/>
              <w:bottom w:val="single" w:color="000000" w:sz="4" w:space="0"/>
              <w:right w:val="nil"/>
              <w:tl2br w:val="none" w:color="auto" w:sz="0" w:space="0"/>
              <w:tr2bl w:val="none" w:color="auto" w:sz="0" w:space="0"/>
            </w:tcBorders>
            <w:shd w:val="clear" w:color="auto" w:fill="auto"/>
            <w:tcMar>
              <w:top w:w="0" w:type="dxa"/>
              <w:left w:w="0"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30</w:t>
            </w:r>
            <w:r>
              <w:rPr>
                <w:rFonts w:hint="default" w:ascii="HG丸ｺﾞｼｯｸM-PRO" w:hAnsi="HG丸ｺﾞｼｯｸM-PRO" w:eastAsia="HG丸ｺﾞｼｯｸM-PRO"/>
              </w:rPr>
              <w:t>トン／日未満</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の施設を除外</w:t>
            </w:r>
          </w:p>
        </w:tc>
      </w:tr>
      <w:tr>
        <w:trPr>
          <w:trHeight w:val="675"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rPr>
                <w:rFonts w:hint="default" w:ascii="HG丸ｺﾞｼｯｸM-PRO" w:hAnsi="HG丸ｺﾞｼｯｸM-PRO" w:eastAsia="HG丸ｺﾞｼｯｸM-PRO"/>
              </w:rPr>
            </w:pPr>
            <w:r>
              <w:rPr>
                <w:rFonts w:hint="default" w:ascii="HG丸ｺﾞｼｯｸM-PRO" w:hAnsi="HG丸ｺﾞｼｯｸM-PRO" w:eastAsia="HG丸ｺﾞｼｯｸM-PRO"/>
              </w:rPr>
              <w:t>③</w:t>
            </w:r>
            <w:r>
              <w:rPr>
                <w:rFonts w:hint="default" w:ascii="HG丸ｺﾞｼｯｸM-PRO" w:hAnsi="HG丸ｺﾞｼｯｸM-PRO" w:eastAsia="HG丸ｺﾞｼｯｸM-PRO"/>
              </w:rPr>
              <w:t>処理能力（公称能力）</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　に対する余裕分の割合</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20</w:t>
            </w:r>
            <w:r>
              <w:rPr>
                <w:rFonts w:hint="default" w:ascii="HG丸ｺﾞｼｯｸM-PRO" w:hAnsi="HG丸ｺﾞｼｯｸM-PRO" w:eastAsia="HG丸ｺﾞｼｯｸM-PRO"/>
              </w:rPr>
              <w:t>％未満の施設を除外</w:t>
            </w:r>
          </w:p>
        </w:tc>
        <w:tc>
          <w:tcPr>
            <w:tcW w:w="2450" w:type="dxa"/>
            <w:tcBorders>
              <w:top w:val="single" w:color="000000" w:sz="4" w:space="0"/>
              <w:left w:val="single" w:color="000000" w:sz="12" w:space="0"/>
              <w:bottom w:val="single" w:color="000000" w:sz="4" w:space="0"/>
              <w:right w:val="single" w:color="000000" w:sz="12" w:space="0"/>
              <w:tl2br w:val="none" w:color="auto" w:sz="0" w:space="0"/>
              <w:tr2bl w:val="none" w:color="auto" w:sz="0" w:space="0"/>
            </w:tcBorders>
            <w:shd w:val="clear" w:color="auto" w:fill="auto"/>
            <w:tcMar>
              <w:top w:w="0" w:type="dxa"/>
              <w:left w:w="15" w:type="dxa"/>
              <w:bottom w:w="0" w:type="dxa"/>
              <w:right w:w="15"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10</w:t>
            </w:r>
            <w:r>
              <w:rPr>
                <w:rFonts w:hint="default" w:ascii="HG丸ｺﾞｼｯｸM-PRO" w:hAnsi="HG丸ｺﾞｼｯｸM-PRO" w:eastAsia="HG丸ｺﾞｼｯｸM-PRO"/>
              </w:rPr>
              <w:t>％未満の施設を除外</w:t>
            </w:r>
          </w:p>
        </w:tc>
        <w:tc>
          <w:tcPr>
            <w:tcW w:w="2420" w:type="dxa"/>
            <w:tcBorders>
              <w:top w:val="single" w:color="000000" w:sz="4" w:space="0"/>
              <w:left w:val="nil"/>
              <w:bottom w:val="single" w:color="000000" w:sz="4" w:space="0"/>
              <w:right w:val="nil"/>
              <w:tl2br w:val="none" w:color="auto" w:sz="0" w:space="0"/>
              <w:tr2bl w:val="none" w:color="auto" w:sz="0" w:space="0"/>
            </w:tcBorders>
            <w:shd w:val="clear" w:color="auto" w:fill="auto"/>
            <w:tcMar>
              <w:top w:w="0" w:type="dxa"/>
              <w:left w:w="0"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制約なし</w:t>
            </w:r>
          </w:p>
        </w:tc>
      </w:tr>
      <w:tr>
        <w:trPr>
          <w:trHeight w:val="675"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rPr>
                <w:rFonts w:hint="default" w:ascii="HG丸ｺﾞｼｯｸM-PRO" w:hAnsi="HG丸ｺﾞｼｯｸM-PRO" w:eastAsia="HG丸ｺﾞｼｯｸM-PRO"/>
              </w:rPr>
            </w:pPr>
            <w:r>
              <w:rPr>
                <w:rFonts w:hint="default" w:ascii="HG丸ｺﾞｼｯｸM-PRO" w:hAnsi="HG丸ｺﾞｼｯｸM-PRO" w:eastAsia="HG丸ｺﾞｼｯｸM-PRO"/>
              </w:rPr>
              <w:t>④</w:t>
            </w:r>
            <w:r>
              <w:rPr>
                <w:rFonts w:hint="default" w:ascii="HG丸ｺﾞｼｯｸM-PRO" w:hAnsi="HG丸ｺﾞｼｯｸM-PRO" w:eastAsia="HG丸ｺﾞｼｯｸM-PRO"/>
              </w:rPr>
              <w:t>年間処理量の実績</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　に対する分担率</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最大で５％</w:t>
            </w:r>
          </w:p>
        </w:tc>
        <w:tc>
          <w:tcPr>
            <w:tcW w:w="2450" w:type="dxa"/>
            <w:tcBorders>
              <w:top w:val="single" w:color="000000" w:sz="4" w:space="0"/>
              <w:left w:val="single" w:color="000000" w:sz="12" w:space="0"/>
              <w:bottom w:val="single" w:color="000000" w:sz="12" w:space="0"/>
              <w:right w:val="single" w:color="000000" w:sz="12" w:space="0"/>
              <w:tl2br w:val="none" w:color="auto" w:sz="0" w:space="0"/>
              <w:tr2bl w:val="none" w:color="auto" w:sz="0" w:space="0"/>
            </w:tcBorders>
            <w:shd w:val="clear" w:color="auto" w:fill="FFE699"/>
            <w:tcMar>
              <w:top w:w="0" w:type="dxa"/>
              <w:left w:w="15" w:type="dxa"/>
              <w:bottom w:w="0" w:type="dxa"/>
              <w:right w:w="15" w:type="dxa"/>
            </w:tcMar>
            <w:vAlign w:val="center"/>
          </w:tcPr>
          <w:p>
            <w:pPr>
              <w:pStyle w:val="0"/>
              <w:shd w:val="clear" w:color="auto" w:fill="FFE699"/>
              <w:rPr>
                <w:rFonts w:hint="default" w:ascii="HG丸ｺﾞｼｯｸM-PRO" w:hAnsi="HG丸ｺﾞｼｯｸM-PRO" w:eastAsia="HG丸ｺﾞｼｯｸM-PRO"/>
              </w:rPr>
            </w:pPr>
            <w:r>
              <w:rPr>
                <w:rFonts w:hint="default" w:ascii="HG丸ｺﾞｼｯｸM-PRO" w:hAnsi="HG丸ｺﾞｼｯｸM-PRO" w:eastAsia="HG丸ｺﾞｼｯｸM-PRO"/>
              </w:rPr>
              <w:t>最大で</w:t>
            </w:r>
            <w:r>
              <w:rPr>
                <w:rFonts w:hint="default" w:ascii="HG丸ｺﾞｼｯｸM-PRO" w:hAnsi="HG丸ｺﾞｼｯｸM-PRO" w:eastAsia="HG丸ｺﾞｼｯｸM-PRO"/>
              </w:rPr>
              <w:t>10</w:t>
            </w:r>
            <w:r>
              <w:rPr>
                <w:rFonts w:hint="default" w:ascii="HG丸ｺﾞｼｯｸM-PRO" w:hAnsi="HG丸ｺﾞｼｯｸM-PRO" w:eastAsia="HG丸ｺﾞｼｯｸM-PRO"/>
              </w:rPr>
              <w:t>％</w:t>
            </w:r>
          </w:p>
        </w:tc>
        <w:tc>
          <w:tcPr>
            <w:tcW w:w="2420" w:type="dxa"/>
            <w:tcBorders>
              <w:top w:val="single" w:color="000000" w:sz="4" w:space="0"/>
              <w:left w:val="nil"/>
              <w:bottom w:val="single" w:color="000000" w:sz="4" w:space="0"/>
              <w:right w:val="nil"/>
              <w:tl2br w:val="none" w:color="auto" w:sz="0" w:space="0"/>
              <w:tr2bl w:val="none" w:color="auto" w:sz="0" w:space="0"/>
            </w:tcBorders>
            <w:shd w:val="clear" w:color="auto" w:fill="auto"/>
            <w:tcMar>
              <w:top w:w="0" w:type="dxa"/>
              <w:left w:w="0"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最大で</w:t>
            </w:r>
            <w:r>
              <w:rPr>
                <w:rFonts w:hint="default" w:ascii="HG丸ｺﾞｼｯｸM-PRO" w:hAnsi="HG丸ｺﾞｼｯｸM-PRO" w:eastAsia="HG丸ｺﾞｼｯｸM-PRO"/>
              </w:rPr>
              <w:t>20</w:t>
            </w:r>
            <w:r>
              <w:rPr>
                <w:rFonts w:hint="default" w:ascii="HG丸ｺﾞｼｯｸM-PRO" w:hAnsi="HG丸ｺﾞｼｯｸM-PRO" w:eastAsia="HG丸ｺﾞｼｯｸM-PRO"/>
              </w:rPr>
              <w:t>％</w:t>
            </w: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出典：「災害廃棄物対策指針</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技術資料　技１４－４」（平成３０年３月、環境省）</w:t>
      </w:r>
    </w:p>
    <w:p>
      <w:pPr>
        <w:pStyle w:val="0"/>
        <w:rPr>
          <w:rFonts w:hint="default" w:ascii="HG丸ｺﾞｼｯｸM-PRO" w:hAnsi="HG丸ｺﾞｼｯｸM-PRO" w:eastAsia="HG丸ｺﾞｼｯｸM-PRO"/>
        </w:rPr>
      </w:pPr>
      <w:bookmarkStart w:id="7" w:name="_Toc528746055"/>
      <w:bookmarkEnd w:id="7"/>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稼働年数　　稼働開始の平成１０年から２２年経過</w:t>
      </w:r>
    </w:p>
    <w:p>
      <w:pPr>
        <w:pStyle w:val="0"/>
        <w:ind w:firstLine="210" w:firstLineChars="10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処理能力（公称能力）　　２１０トン／日（７０トン／日×３炉）</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出典：「一般廃棄物処理事業実態調査」（平成３０年、環境省）</w:t>
      </w:r>
    </w:p>
    <w:p>
      <w:pPr>
        <w:pStyle w:val="0"/>
        <w:ind w:firstLine="420" w:firstLineChars="20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③</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処理能力（公称能力）に対する余裕分の割合　　２５．５％</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・年間処理可能量</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処理能力（公称能力）２１０（トン）×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年間稼働可能日数２８０（日）</w:t>
      </w:r>
    </w:p>
    <w:p>
      <w:pPr>
        <w:pStyle w:val="0"/>
        <w:ind w:firstLine="4830" w:firstLineChars="23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５８，８００（トン／年）</w:t>
      </w:r>
    </w:p>
    <w:p>
      <w:pPr>
        <w:pStyle w:val="0"/>
        <w:widowControl w:val="1"/>
        <w:jc w:val="left"/>
        <w:rPr>
          <w:rFonts w:hint="default" w:ascii="HG丸ｺﾞｼｯｸM-PRO" w:hAnsi="HG丸ｺﾞｼｯｸM-PRO" w:eastAsia="HG丸ｺﾞｼｯｸM-PRO"/>
          <w:color w:val="0070C0"/>
        </w:rPr>
      </w:pPr>
      <w:r>
        <w:rPr>
          <w:rFonts w:hint="default" w:ascii="HG丸ｺﾞｼｯｸM-PRO" w:hAnsi="HG丸ｺﾞｼｯｸM-PRO" w:eastAsia="HG丸ｺﾞｼｯｸM-PRO"/>
          <w:color w:val="0070C0"/>
        </w:rPr>
        <w:br w:type="page"/>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・年間処理量実績割合</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年間処理量実績４３，８１３（トン）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年間処理可能量５８，８００（トン）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７４．５（％）</w:t>
      </w:r>
    </w:p>
    <w:p>
      <w:pPr>
        <w:pStyle w:val="0"/>
        <w:ind w:firstLine="630" w:firstLineChars="300"/>
        <w:rPr>
          <w:rFonts w:hint="default" w:ascii="HG丸ｺﾞｼｯｸM-PRO" w:hAnsi="HG丸ｺﾞｼｯｸM-PRO" w:eastAsia="HG丸ｺﾞｼｯｸM-PRO"/>
        </w:rPr>
      </w:pP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・余裕分の割合</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１００（％）</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年間処理量実績割合７４．５（％）</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２５．５（％）</w:t>
      </w:r>
    </w:p>
    <w:p>
      <w:pPr>
        <w:pStyle w:val="0"/>
        <w:ind w:firstLine="630" w:firstLineChars="300"/>
        <w:rPr>
          <w:rFonts w:hint="default" w:ascii="HG丸ｺﾞｼｯｸM-PRO" w:hAnsi="HG丸ｺﾞｼｯｸM-PRO" w:eastAsia="HG丸ｺﾞｼｯｸM-PRO"/>
        </w:rPr>
      </w:pPr>
    </w:p>
    <w:p>
      <w:pPr>
        <w:pStyle w:val="0"/>
        <w:ind w:left="1260" w:leftChars="300" w:hanging="630" w:hangingChars="300"/>
        <w:rPr>
          <w:rFonts w:hint="default" w:ascii="HG丸ｺﾞｼｯｸM-PRO" w:hAnsi="HG丸ｺﾞｼｯｸM-PRO" w:eastAsia="HG丸ｺﾞｼｯｸM-PRO"/>
          <w:sz w:val="22"/>
        </w:rPr>
      </w:pPr>
      <w:bookmarkStart w:id="8" w:name="_Toc528746056"/>
      <w:bookmarkEnd w:id="8"/>
      <w:r>
        <w:rPr>
          <w:rFonts w:hint="eastAsia" w:ascii="HG丸ｺﾞｼｯｸM-PRO" w:hAnsi="HG丸ｺﾞｼｯｸM-PRO" w:eastAsia="HG丸ｺﾞｼｯｸM-PRO"/>
        </w:rPr>
        <w:t>出典：「ごみ処理施設整備の計画・設計要領（２０１７改訂</w:t>
      </w:r>
      <w:bookmarkStart w:id="9" w:name="_Toc528746057"/>
      <w:bookmarkEnd w:id="9"/>
      <w:r>
        <w:rPr>
          <w:rFonts w:hint="eastAsia" w:ascii="HG丸ｺﾞｼｯｸM-PRO" w:hAnsi="HG丸ｺﾞｼｯｸM-PRO" w:eastAsia="HG丸ｺﾞｼｯｸM-PRO"/>
        </w:rPr>
        <w:t>版）　２１８頁」（社団法人全国都市清掃会議）（ごみ焼却施設規模の算定に基づく年間実稼働日数２８０日）</w:t>
      </w:r>
    </w:p>
    <w:p>
      <w:pPr>
        <w:pStyle w:val="0"/>
        <w:rPr>
          <w:rFonts w:hint="default" w:ascii="HG丸ｺﾞｼｯｸM-PRO" w:hAnsi="HG丸ｺﾞｼｯｸM-PRO" w:eastAsia="HG丸ｺﾞｼｯｸM-PRO"/>
        </w:rPr>
      </w:pPr>
    </w:p>
    <w:p>
      <w:pPr>
        <w:pStyle w:val="3"/>
        <w:rPr>
          <w:rFonts w:hint="default"/>
        </w:rPr>
      </w:pPr>
      <w:r>
        <w:rPr>
          <w:rFonts w:hint="eastAsia"/>
        </w:rPr>
        <w:t>推計結果</w:t>
      </w:r>
    </w:p>
    <w:p>
      <w:pPr>
        <w:pStyle w:val="15"/>
        <w:numPr>
          <w:ilvl w:val="0"/>
          <w:numId w:val="4"/>
        </w:numPr>
        <w:ind w:leftChars="0"/>
        <w:rPr>
          <w:rFonts w:hint="default"/>
        </w:rPr>
      </w:pPr>
      <w:r>
        <w:rPr>
          <w:rFonts w:hint="eastAsia" w:ascii="HG丸ｺﾞｼｯｸM-PRO" w:hAnsi="HG丸ｺﾞｼｯｸM-PRO" w:eastAsia="HG丸ｺﾞｼｯｸM-PRO"/>
        </w:rPr>
        <w:t>災害廃棄物の処理可能量の推計結果は図表５に示すとおりである。</w:t>
      </w:r>
    </w:p>
    <w:p>
      <w:pPr>
        <w:pStyle w:val="15"/>
        <w:numPr>
          <w:ilvl w:val="0"/>
          <w:numId w:val="4"/>
        </w:numPr>
        <w:ind w:leftChars="0"/>
        <w:rPr>
          <w:rFonts w:hint="default"/>
        </w:rPr>
      </w:pPr>
      <w:r>
        <w:rPr>
          <w:rFonts w:hint="eastAsia" w:ascii="HG丸ｺﾞｼｯｸM-PRO" w:hAnsi="HG丸ｺﾞｼｯｸM-PRO" w:eastAsia="HG丸ｺﾞｼｯｸM-PRO"/>
        </w:rPr>
        <w:t>本編の図表１－８に示したとおり、可燃物の発生量は約５，８３４トン（可燃物＋柱角材）であり、また、他の構成市町から発生した災害廃棄物の搬入も予想されることから、処理期間を３年とした場合、既存の公共の破砕施設だけでは処理量が不足することが想定される。</w:t>
      </w:r>
    </w:p>
    <w:p>
      <w:pPr>
        <w:pStyle w:val="35"/>
        <w:spacing w:after="180" w:afterLines="0" w:afterAutospacing="0"/>
        <w:ind w:firstLine="21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巻末図表５　焼却施設の災害廃棄物の処理可能量</w:t>
            </w:r>
          </w:p>
        </w:tc>
      </w:tr>
    </w:tbl>
    <w:p>
      <w:pPr>
        <w:pStyle w:val="35"/>
        <w:spacing w:after="180" w:afterLines="0" w:afterAutospacing="0"/>
        <w:ind w:firstLine="210"/>
        <w:rPr>
          <w:rFonts w:hint="default"/>
        </w:rPr>
      </w:pPr>
    </w:p>
    <w:tbl>
      <w:tblPr>
        <w:tblStyle w:val="45"/>
        <w:tblW w:w="7756"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5103"/>
        <w:gridCol w:w="2653"/>
      </w:tblGrid>
      <w:tr>
        <w:trPr/>
        <w:tc>
          <w:tcPr>
            <w:tcW w:w="5103"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施設名称</w:t>
            </w:r>
          </w:p>
        </w:tc>
        <w:tc>
          <w:tcPr>
            <w:tcW w:w="2653"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処理可能量（トン</w:t>
            </w:r>
            <w:r>
              <w:rPr>
                <w:rFonts w:hint="eastAsia" w:ascii="HG丸ｺﾞｼｯｸM-PRO" w:hAnsi="HG丸ｺﾞｼｯｸM-PRO" w:eastAsia="HG丸ｺﾞｼｯｸM-PRO"/>
              </w:rPr>
              <w:t>/</w:t>
            </w:r>
            <w:r>
              <w:rPr>
                <w:rFonts w:hint="eastAsia" w:ascii="HG丸ｺﾞｼｯｸM-PRO" w:hAnsi="HG丸ｺﾞｼｯｸM-PRO" w:eastAsia="HG丸ｺﾞｼｯｸM-PRO"/>
              </w:rPr>
              <w:t>年）</w:t>
            </w:r>
          </w:p>
        </w:tc>
      </w:tr>
      <w:tr>
        <w:trPr/>
        <w:tc>
          <w:tcPr>
            <w:tcW w:w="510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東金市外三市町環境クリーンセンター</w:t>
            </w:r>
          </w:p>
        </w:tc>
        <w:tc>
          <w:tcPr>
            <w:tcW w:w="2653"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４，３８１</w:t>
            </w:r>
          </w:p>
        </w:tc>
      </w:tr>
    </w:tbl>
    <w:p>
      <w:pPr>
        <w:pStyle w:val="0"/>
        <w:rPr>
          <w:rFonts w:hint="default"/>
        </w:rPr>
      </w:pPr>
    </w:p>
    <w:p>
      <w:pPr>
        <w:pStyle w:val="0"/>
        <w:rPr>
          <w:rFonts w:hint="default"/>
        </w:rPr>
      </w:pPr>
      <w:r>
        <w:rPr>
          <w:rFonts w:hint="default"/>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２　破砕施設</w:t>
            </w:r>
          </w:p>
        </w:tc>
      </w:tr>
    </w:tbl>
    <w:p>
      <w:pPr>
        <w:pStyle w:val="3"/>
        <w:numPr>
          <w:ilvl w:val="2"/>
          <w:numId w:val="22"/>
        </w:numPr>
        <w:rPr>
          <w:rFonts w:hint="default"/>
        </w:rPr>
      </w:pPr>
      <w:r>
        <w:rPr>
          <w:rFonts w:hint="eastAsia"/>
        </w:rPr>
        <w:t>推計式</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災害廃棄物の処理可能量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年間処理実績（トン／年）</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分担率（％）</w:t>
      </w:r>
    </w:p>
    <w:p>
      <w:pPr>
        <w:pStyle w:val="0"/>
        <w:rPr>
          <w:rFonts w:hint="default"/>
        </w:rPr>
      </w:pPr>
    </w:p>
    <w:p>
      <w:pPr>
        <w:pStyle w:val="3"/>
        <w:rPr>
          <w:rFonts w:hint="default"/>
        </w:rPr>
      </w:pPr>
      <w:r>
        <w:rPr>
          <w:rFonts w:hint="eastAsia"/>
        </w:rPr>
        <w:t>設定数値</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年間処理実績（単位：トン）</w:t>
      </w:r>
    </w:p>
    <w:tbl>
      <w:tblPr>
        <w:tblStyle w:val="45"/>
        <w:tblW w:w="6095" w:type="dxa"/>
        <w:jc w:val="center"/>
        <w:tblInd w:w="0" w:type="dxa"/>
        <w:tblLayout w:type="fixed"/>
        <w:tblLook w:firstRow="1" w:lastRow="0" w:firstColumn="1" w:lastColumn="0" w:noHBand="0" w:noVBand="1" w:val="04A0"/>
      </w:tblPr>
      <w:tblGrid>
        <w:gridCol w:w="1559"/>
        <w:gridCol w:w="1510"/>
        <w:gridCol w:w="1559"/>
        <w:gridCol w:w="1467"/>
      </w:tblGrid>
      <w:tr>
        <w:trPr>
          <w:trHeight w:val="375" w:hRule="atLeast"/>
        </w:trPr>
        <w:tc>
          <w:tcPr>
            <w:tcW w:w="1559" w:type="dxa"/>
            <w:tcBorders>
              <w:top w:val="single" w:color="auto" w:sz="4" w:space="0"/>
              <w:left w:val="nil"/>
              <w:bottom w:val="single" w:color="auto" w:sz="4" w:space="0"/>
              <w:right w:val="single" w:color="auto" w:sz="4" w:space="0"/>
              <w:tl2br w:val="nil"/>
              <w:tr2bl w:val="nil"/>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28</w:t>
            </w:r>
            <w:r>
              <w:rPr>
                <w:rFonts w:hint="eastAsia" w:ascii="HG丸ｺﾞｼｯｸM-PRO" w:hAnsi="HG丸ｺﾞｼｯｸM-PRO" w:eastAsia="HG丸ｺﾞｼｯｸM-PRO"/>
              </w:rPr>
              <w:t>年度</w:t>
            </w:r>
          </w:p>
        </w:tc>
        <w:tc>
          <w:tcPr>
            <w:tcW w:w="151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29</w:t>
            </w:r>
            <w:r>
              <w:rPr>
                <w:rFonts w:hint="eastAsia" w:ascii="HG丸ｺﾞｼｯｸM-PRO" w:hAnsi="HG丸ｺﾞｼｯｸM-PRO" w:eastAsia="HG丸ｺﾞｼｯｸM-PRO"/>
              </w:rPr>
              <w:t>年度</w:t>
            </w:r>
          </w:p>
        </w:tc>
        <w:tc>
          <w:tcPr>
            <w:tcW w:w="1559"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年度</w:t>
            </w:r>
          </w:p>
        </w:tc>
        <w:tc>
          <w:tcPr>
            <w:tcW w:w="1467" w:type="dxa"/>
            <w:tcBorders>
              <w:top w:val="single" w:color="auto" w:sz="4" w:space="0"/>
              <w:left w:val="single" w:color="auto" w:sz="4" w:space="0"/>
              <w:bottom w:val="single" w:color="auto" w:sz="4" w:space="0"/>
              <w:right w:val="nil"/>
              <w:tl2br w:val="nil"/>
              <w:tr2bl w:val="nil"/>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３ヶ年平均</w:t>
            </w:r>
          </w:p>
        </w:tc>
      </w:tr>
      <w:tr>
        <w:trPr>
          <w:trHeight w:val="375" w:hRule="atLeast"/>
        </w:trPr>
        <w:tc>
          <w:tcPr>
            <w:tcW w:w="1559" w:type="dxa"/>
            <w:tcBorders>
              <w:top w:val="single" w:color="auto" w:sz="4" w:space="0"/>
              <w:left w:val="nil"/>
              <w:bottom w:val="single" w:color="auto" w:sz="4" w:space="0"/>
              <w:right w:val="single" w:color="auto" w:sz="4" w:space="0"/>
              <w:tl2br w:val="nil"/>
              <w:tr2bl w:val="nil"/>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2,152</w:t>
            </w:r>
          </w:p>
        </w:tc>
        <w:tc>
          <w:tcPr>
            <w:tcW w:w="151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1,432</w:t>
            </w:r>
          </w:p>
        </w:tc>
        <w:tc>
          <w:tcPr>
            <w:tcW w:w="1559"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1,559</w:t>
            </w:r>
          </w:p>
        </w:tc>
        <w:tc>
          <w:tcPr>
            <w:tcW w:w="1467" w:type="dxa"/>
            <w:tcBorders>
              <w:top w:val="single" w:color="auto" w:sz="4" w:space="0"/>
              <w:left w:val="single" w:color="auto" w:sz="4" w:space="0"/>
              <w:bottom w:val="single" w:color="auto" w:sz="4" w:space="0"/>
              <w:right w:val="nil"/>
              <w:tl2br w:val="nil"/>
              <w:tr2bl w:val="nil"/>
            </w:tcBorders>
            <w:shd w:val="clear" w:color="auto" w:themeFill="accent4" w:themeFillTint="66"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1,714</w:t>
            </w:r>
          </w:p>
        </w:tc>
      </w:tr>
    </w:tbl>
    <w:p>
      <w:pPr>
        <w:pStyle w:val="0"/>
        <w:ind w:left="1260" w:leftChars="350" w:hanging="525" w:hangingChars="250"/>
        <w:rPr>
          <w:rFonts w:hint="default" w:ascii="HG丸ｺﾞｼｯｸM-PRO" w:hAnsi="HG丸ｺﾞｼｯｸM-PRO" w:eastAsia="HG丸ｺﾞｼｯｸM-PRO"/>
          <w:sz w:val="22"/>
        </w:rPr>
      </w:pPr>
      <w:r>
        <w:rPr>
          <w:rFonts w:hint="eastAsia" w:ascii="HG丸ｺﾞｼｯｸM-PRO" w:hAnsi="HG丸ｺﾞｼｯｸM-PRO" w:eastAsia="HG丸ｺﾞｼｯｸM-PRO"/>
        </w:rPr>
        <w:t>出典：「一般廃棄物処理事業実態調査」（平成２８・２９・３０年、環境省）</w:t>
      </w:r>
    </w:p>
    <w:p>
      <w:pPr>
        <w:pStyle w:val="0"/>
        <w:rPr>
          <w:rFonts w:hint="default"/>
        </w:rPr>
      </w:pP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分担率</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稼働開始から２２年が経過し老朽化しており、施設規模も小さいことから、災害廃棄物対策指針で示されている下記の３つのシナリオの内、災害時の廃棄物処理を最大限行うことを想定した高位シナリオを採用し、分担率を最大２０％で推計。</w:t>
      </w:r>
    </w:p>
    <w:p>
      <w:pPr>
        <w:pStyle w:val="0"/>
        <w:numPr>
          <w:ilvl w:val="2"/>
          <w:numId w:val="0"/>
        </w:numPr>
        <w:rPr>
          <w:rFonts w:hint="default" w:ascii="HG丸ｺﾞｼｯｸM-PRO" w:hAnsi="HG丸ｺﾞｼｯｸM-PRO" w:eastAsia="HG丸ｺﾞｼｯｸM-PRO"/>
        </w:rPr>
      </w:pPr>
    </w:p>
    <w:tbl>
      <w:tblPr>
        <w:tblStyle w:val="11"/>
        <w:tblW w:w="9855" w:type="dxa"/>
        <w:tblInd w:w="0" w:type="dxa"/>
        <w:tblLayout w:type="fixed"/>
        <w:tblCellMar>
          <w:left w:w="0" w:type="dxa"/>
          <w:right w:w="0" w:type="dxa"/>
        </w:tblCellMar>
        <w:tblLook w:firstRow="1" w:lastRow="0" w:firstColumn="1" w:lastColumn="0" w:noHBand="0" w:noVBand="1" w:val="04A0"/>
      </w:tblPr>
      <w:tblGrid>
        <w:gridCol w:w="2619"/>
        <w:gridCol w:w="2402"/>
        <w:gridCol w:w="2402"/>
        <w:gridCol w:w="2432"/>
      </w:tblGrid>
      <w:tr>
        <w:trPr>
          <w:trHeight w:val="450"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項目</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DBDBDB"/>
            <w:tcMar>
              <w:top w:w="0" w:type="dxa"/>
              <w:left w:w="5" w:type="dxa"/>
              <w:bottom w:w="0" w:type="dxa"/>
              <w:right w:w="0" w:type="dxa"/>
            </w:tcMar>
            <w:vAlign w:val="center"/>
          </w:tcPr>
          <w:p>
            <w:pPr>
              <w:pStyle w:val="0"/>
              <w:shd w:val="clear" w:color="auto" w:fill="DBDBDB"/>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低位シナリオ</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DBDBDB"/>
            <w:tcMar>
              <w:top w:w="0" w:type="dxa"/>
              <w:left w:w="5" w:type="dxa"/>
              <w:bottom w:w="0" w:type="dxa"/>
              <w:right w:w="0" w:type="dxa"/>
            </w:tcMar>
            <w:vAlign w:val="center"/>
          </w:tcPr>
          <w:p>
            <w:pPr>
              <w:pStyle w:val="0"/>
              <w:shd w:val="clear" w:color="auto" w:fill="DBDBDB"/>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中位シナリオ</w:t>
            </w:r>
          </w:p>
        </w:tc>
        <w:tc>
          <w:tcPr>
            <w:tcW w:w="2450" w:type="dxa"/>
            <w:tcBorders>
              <w:top w:val="single" w:color="000000" w:sz="12" w:space="0"/>
              <w:left w:val="single" w:color="000000" w:sz="12" w:space="0"/>
              <w:bottom w:val="single" w:color="000000" w:sz="4" w:space="0"/>
              <w:right w:val="single" w:color="000000" w:sz="12" w:space="0"/>
              <w:tl2br w:val="none" w:color="auto" w:sz="0" w:space="0"/>
              <w:tr2bl w:val="none" w:color="auto" w:sz="0" w:space="0"/>
            </w:tcBorders>
            <w:shd w:val="clear" w:color="auto" w:fill="DBDBDB"/>
            <w:tcMar>
              <w:top w:w="0" w:type="dxa"/>
              <w:left w:w="15" w:type="dxa"/>
              <w:bottom w:w="0" w:type="dxa"/>
              <w:right w:w="15" w:type="dxa"/>
            </w:tcMar>
            <w:vAlign w:val="center"/>
          </w:tcPr>
          <w:p>
            <w:pPr>
              <w:pStyle w:val="0"/>
              <w:shd w:val="clear" w:color="auto" w:fill="DBDBDB"/>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高位シナリオ</w:t>
            </w:r>
          </w:p>
        </w:tc>
      </w:tr>
      <w:tr>
        <w:trPr>
          <w:trHeight w:val="450"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rPr>
                <w:rFonts w:hint="default" w:ascii="HG丸ｺﾞｼｯｸM-PRO" w:hAnsi="HG丸ｺﾞｼｯｸM-PRO" w:eastAsia="HG丸ｺﾞｼｯｸM-PRO"/>
              </w:rPr>
            </w:pPr>
            <w:r>
              <w:rPr>
                <w:rFonts w:hint="default" w:ascii="HG丸ｺﾞｼｯｸM-PRO" w:hAnsi="HG丸ｺﾞｼｯｸM-PRO" w:eastAsia="HG丸ｺﾞｼｯｸM-PRO"/>
              </w:rPr>
              <w:t>①</w:t>
            </w:r>
            <w:r>
              <w:rPr>
                <w:rFonts w:hint="default" w:ascii="HG丸ｺﾞｼｯｸM-PRO" w:hAnsi="HG丸ｺﾞｼｯｸM-PRO" w:eastAsia="HG丸ｺﾞｼｯｸM-PRO"/>
              </w:rPr>
              <w:t>稼働年数</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20</w:t>
            </w:r>
            <w:r>
              <w:rPr>
                <w:rFonts w:hint="default" w:ascii="HG丸ｺﾞｼｯｸM-PRO" w:hAnsi="HG丸ｺﾞｼｯｸM-PRO" w:eastAsia="HG丸ｺﾞｼｯｸM-PRO"/>
              </w:rPr>
              <w:t>年超の施設を除外</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30</w:t>
            </w:r>
            <w:r>
              <w:rPr>
                <w:rFonts w:hint="default" w:ascii="HG丸ｺﾞｼｯｸM-PRO" w:hAnsi="HG丸ｺﾞｼｯｸM-PRO" w:eastAsia="HG丸ｺﾞｼｯｸM-PRO"/>
              </w:rPr>
              <w:t>年超の施設を除外</w:t>
            </w:r>
          </w:p>
        </w:tc>
        <w:tc>
          <w:tcPr>
            <w:tcW w:w="2450" w:type="dxa"/>
            <w:tcBorders>
              <w:top w:val="single" w:color="000000" w:sz="4" w:space="0"/>
              <w:left w:val="single" w:color="000000" w:sz="12" w:space="0"/>
              <w:bottom w:val="single" w:color="000000" w:sz="4" w:space="0"/>
              <w:right w:val="single" w:color="000000" w:sz="12" w:space="0"/>
              <w:tl2br w:val="none" w:color="auto" w:sz="0" w:space="0"/>
              <w:tr2bl w:val="none" w:color="auto" w:sz="0" w:space="0"/>
            </w:tcBorders>
            <w:shd w:val="clear" w:color="auto" w:fill="auto"/>
            <w:tcMar>
              <w:top w:w="0" w:type="dxa"/>
              <w:left w:w="15" w:type="dxa"/>
              <w:bottom w:w="0" w:type="dxa"/>
              <w:right w:w="15"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制約なし</w:t>
            </w:r>
          </w:p>
        </w:tc>
      </w:tr>
      <w:tr>
        <w:trPr>
          <w:trHeight w:val="675"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rPr>
                <w:rFonts w:hint="default" w:ascii="HG丸ｺﾞｼｯｸM-PRO" w:hAnsi="HG丸ｺﾞｼｯｸM-PRO" w:eastAsia="HG丸ｺﾞｼｯｸM-PRO"/>
              </w:rPr>
            </w:pPr>
            <w:r>
              <w:rPr>
                <w:rFonts w:hint="default" w:ascii="HG丸ｺﾞｼｯｸM-PRO" w:hAnsi="HG丸ｺﾞｼｯｸM-PRO" w:eastAsia="HG丸ｺﾞｼｯｸM-PRO"/>
              </w:rPr>
              <w:t>②</w:t>
            </w:r>
            <w:r>
              <w:rPr>
                <w:rFonts w:hint="default" w:ascii="HG丸ｺﾞｼｯｸM-PRO" w:hAnsi="HG丸ｺﾞｼｯｸM-PRO" w:eastAsia="HG丸ｺﾞｼｯｸM-PRO"/>
              </w:rPr>
              <w:t>処理能力（公称能力）</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50</w:t>
            </w:r>
            <w:r>
              <w:rPr>
                <w:rFonts w:hint="default" w:ascii="HG丸ｺﾞｼｯｸM-PRO" w:hAnsi="HG丸ｺﾞｼｯｸM-PRO" w:eastAsia="HG丸ｺﾞｼｯｸM-PRO"/>
              </w:rPr>
              <w:t>トン／日未満</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の施設を除外</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30</w:t>
            </w:r>
            <w:r>
              <w:rPr>
                <w:rFonts w:hint="default" w:ascii="HG丸ｺﾞｼｯｸM-PRO" w:hAnsi="HG丸ｺﾞｼｯｸM-PRO" w:eastAsia="HG丸ｺﾞｼｯｸM-PRO"/>
              </w:rPr>
              <w:t>トン／日未満</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の施設を除外</w:t>
            </w:r>
          </w:p>
        </w:tc>
        <w:tc>
          <w:tcPr>
            <w:tcW w:w="2450" w:type="dxa"/>
            <w:tcBorders>
              <w:top w:val="single" w:color="000000" w:sz="4" w:space="0"/>
              <w:left w:val="single" w:color="000000" w:sz="12" w:space="0"/>
              <w:bottom w:val="single" w:color="000000" w:sz="4" w:space="0"/>
              <w:right w:val="single" w:color="000000" w:sz="12" w:space="0"/>
              <w:tl2br w:val="none" w:color="auto" w:sz="0" w:space="0"/>
              <w:tr2bl w:val="none" w:color="auto" w:sz="0" w:space="0"/>
            </w:tcBorders>
            <w:shd w:val="clear" w:color="auto" w:fill="auto"/>
            <w:tcMar>
              <w:top w:w="0" w:type="dxa"/>
              <w:left w:w="15" w:type="dxa"/>
              <w:bottom w:w="0" w:type="dxa"/>
              <w:right w:w="15"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10</w:t>
            </w:r>
            <w:r>
              <w:rPr>
                <w:rFonts w:hint="default" w:ascii="HG丸ｺﾞｼｯｸM-PRO" w:hAnsi="HG丸ｺﾞｼｯｸM-PRO" w:eastAsia="HG丸ｺﾞｼｯｸM-PRO"/>
              </w:rPr>
              <w:t>トン／日未満</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の施設を除外</w:t>
            </w:r>
          </w:p>
        </w:tc>
      </w:tr>
      <w:tr>
        <w:trPr>
          <w:trHeight w:val="675"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rPr>
                <w:rFonts w:hint="default" w:ascii="HG丸ｺﾞｼｯｸM-PRO" w:hAnsi="HG丸ｺﾞｼｯｸM-PRO" w:eastAsia="HG丸ｺﾞｼｯｸM-PRO"/>
              </w:rPr>
            </w:pPr>
            <w:r>
              <w:rPr>
                <w:rFonts w:hint="default" w:ascii="HG丸ｺﾞｼｯｸM-PRO" w:hAnsi="HG丸ｺﾞｼｯｸM-PRO" w:eastAsia="HG丸ｺﾞｼｯｸM-PRO"/>
              </w:rPr>
              <w:t>③</w:t>
            </w:r>
            <w:r>
              <w:rPr>
                <w:rFonts w:hint="default" w:ascii="HG丸ｺﾞｼｯｸM-PRO" w:hAnsi="HG丸ｺﾞｼｯｸM-PRO" w:eastAsia="HG丸ｺﾞｼｯｸM-PRO"/>
              </w:rPr>
              <w:t>処理能力（公称能力）</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　に対する余裕分の割合</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20</w:t>
            </w:r>
            <w:r>
              <w:rPr>
                <w:rFonts w:hint="default" w:ascii="HG丸ｺﾞｼｯｸM-PRO" w:hAnsi="HG丸ｺﾞｼｯｸM-PRO" w:eastAsia="HG丸ｺﾞｼｯｸM-PRO"/>
              </w:rPr>
              <w:t>％未満の施設を除外</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10</w:t>
            </w:r>
            <w:r>
              <w:rPr>
                <w:rFonts w:hint="default" w:ascii="HG丸ｺﾞｼｯｸM-PRO" w:hAnsi="HG丸ｺﾞｼｯｸM-PRO" w:eastAsia="HG丸ｺﾞｼｯｸM-PRO"/>
              </w:rPr>
              <w:t>％未満の施設を除外</w:t>
            </w:r>
          </w:p>
        </w:tc>
        <w:tc>
          <w:tcPr>
            <w:tcW w:w="2450" w:type="dxa"/>
            <w:tcBorders>
              <w:top w:val="single" w:color="000000" w:sz="4" w:space="0"/>
              <w:left w:val="single" w:color="000000" w:sz="12" w:space="0"/>
              <w:bottom w:val="single" w:color="000000" w:sz="4" w:space="0"/>
              <w:right w:val="single" w:color="000000" w:sz="12" w:space="0"/>
              <w:tl2br w:val="none" w:color="auto" w:sz="0" w:space="0"/>
              <w:tr2bl w:val="none" w:color="auto" w:sz="0" w:space="0"/>
            </w:tcBorders>
            <w:shd w:val="clear" w:color="auto" w:fill="auto"/>
            <w:tcMar>
              <w:top w:w="0" w:type="dxa"/>
              <w:left w:w="15" w:type="dxa"/>
              <w:bottom w:w="0" w:type="dxa"/>
              <w:right w:w="15"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制約なし</w:t>
            </w:r>
          </w:p>
        </w:tc>
      </w:tr>
      <w:tr>
        <w:trPr>
          <w:trHeight w:val="675" w:hRule="atLeast"/>
        </w:trPr>
        <w:tc>
          <w:tcPr>
            <w:tcW w:w="26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DBDBDB"/>
            <w:tcMar>
              <w:top w:w="0" w:type="dxa"/>
              <w:left w:w="0" w:type="dxa"/>
              <w:bottom w:w="0" w:type="dxa"/>
              <w:right w:w="5" w:type="dxa"/>
            </w:tcMar>
            <w:vAlign w:val="center"/>
          </w:tcPr>
          <w:p>
            <w:pPr>
              <w:pStyle w:val="0"/>
              <w:shd w:val="clear" w:color="auto" w:fill="DBDBDB"/>
              <w:rPr>
                <w:rFonts w:hint="default" w:ascii="HG丸ｺﾞｼｯｸM-PRO" w:hAnsi="HG丸ｺﾞｼｯｸM-PRO" w:eastAsia="HG丸ｺﾞｼｯｸM-PRO"/>
              </w:rPr>
            </w:pPr>
            <w:r>
              <w:rPr>
                <w:rFonts w:hint="default" w:ascii="HG丸ｺﾞｼｯｸM-PRO" w:hAnsi="HG丸ｺﾞｼｯｸM-PRO" w:eastAsia="HG丸ｺﾞｼｯｸM-PRO"/>
              </w:rPr>
              <w:t>④</w:t>
            </w:r>
            <w:r>
              <w:rPr>
                <w:rFonts w:hint="default" w:ascii="HG丸ｺﾞｼｯｸM-PRO" w:hAnsi="HG丸ｺﾞｼｯｸM-PRO" w:eastAsia="HG丸ｺﾞｼｯｸM-PRO"/>
              </w:rPr>
              <w:t>年間処理量の実績</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　に対する分担率</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最大で５％</w:t>
            </w:r>
          </w:p>
        </w:tc>
        <w:tc>
          <w:tcPr>
            <w:tcW w:w="2420"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tcMar>
              <w:top w:w="0" w:type="dxa"/>
              <w:left w:w="5" w:type="dxa"/>
              <w:bottom w:w="0" w:type="dxa"/>
              <w:right w:w="0" w:type="dxa"/>
            </w:tcMar>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t>最大で</w:t>
            </w:r>
            <w:r>
              <w:rPr>
                <w:rFonts w:hint="default" w:ascii="HG丸ｺﾞｼｯｸM-PRO" w:hAnsi="HG丸ｺﾞｼｯｸM-PRO" w:eastAsia="HG丸ｺﾞｼｯｸM-PRO"/>
              </w:rPr>
              <w:t>10</w:t>
            </w:r>
            <w:r>
              <w:rPr>
                <w:rFonts w:hint="default" w:ascii="HG丸ｺﾞｼｯｸM-PRO" w:hAnsi="HG丸ｺﾞｼｯｸM-PRO" w:eastAsia="HG丸ｺﾞｼｯｸM-PRO"/>
              </w:rPr>
              <w:t>％</w:t>
            </w:r>
          </w:p>
        </w:tc>
        <w:tc>
          <w:tcPr>
            <w:tcW w:w="2450" w:type="dxa"/>
            <w:tcBorders>
              <w:top w:val="single" w:color="000000" w:sz="4" w:space="0"/>
              <w:left w:val="single" w:color="000000" w:sz="12" w:space="0"/>
              <w:bottom w:val="single" w:color="000000" w:sz="12" w:space="0"/>
              <w:right w:val="single" w:color="000000" w:sz="12" w:space="0"/>
              <w:tl2br w:val="none" w:color="auto" w:sz="0" w:space="0"/>
              <w:tr2bl w:val="none" w:color="auto" w:sz="0" w:space="0"/>
            </w:tcBorders>
            <w:shd w:val="clear" w:color="auto" w:fill="FFE699"/>
            <w:tcMar>
              <w:top w:w="0" w:type="dxa"/>
              <w:left w:w="15" w:type="dxa"/>
              <w:bottom w:w="0" w:type="dxa"/>
              <w:right w:w="15" w:type="dxa"/>
            </w:tcMar>
            <w:vAlign w:val="center"/>
          </w:tcPr>
          <w:p>
            <w:pPr>
              <w:pStyle w:val="0"/>
              <w:shd w:val="clear" w:color="auto" w:fill="FFE699"/>
              <w:rPr>
                <w:rFonts w:hint="default" w:ascii="HG丸ｺﾞｼｯｸM-PRO" w:hAnsi="HG丸ｺﾞｼｯｸM-PRO" w:eastAsia="HG丸ｺﾞｼｯｸM-PRO"/>
                <w:shd w:val="clear" w:color="auto" w:fill="auto"/>
              </w:rPr>
            </w:pPr>
            <w:r>
              <w:rPr>
                <w:rFonts w:hint="default" w:ascii="HG丸ｺﾞｼｯｸM-PRO" w:hAnsi="HG丸ｺﾞｼｯｸM-PRO" w:eastAsia="HG丸ｺﾞｼｯｸM-PRO"/>
                <w:shd w:val="clear" w:color="auto" w:fill="auto"/>
              </w:rPr>
              <w:t>最大で</w:t>
            </w:r>
            <w:r>
              <w:rPr>
                <w:rFonts w:hint="default" w:ascii="HG丸ｺﾞｼｯｸM-PRO" w:hAnsi="HG丸ｺﾞｼｯｸM-PRO" w:eastAsia="HG丸ｺﾞｼｯｸM-PRO"/>
                <w:shd w:val="clear" w:color="auto" w:fill="auto"/>
              </w:rPr>
              <w:t>20</w:t>
            </w:r>
            <w:r>
              <w:rPr>
                <w:rFonts w:hint="default" w:ascii="HG丸ｺﾞｼｯｸM-PRO" w:hAnsi="HG丸ｺﾞｼｯｸM-PRO" w:eastAsia="HG丸ｺﾞｼｯｸM-PRO"/>
                <w:shd w:val="clear" w:color="auto" w:fill="auto"/>
              </w:rPr>
              <w:t>％</w:t>
            </w:r>
          </w:p>
        </w:tc>
      </w:tr>
    </w:tbl>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出典：「災害廃棄物対策指針</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技術資料　技１４－４」（平成３０年３月、環境省）</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稼働年数　　稼働開始の平成１０年から２２年経過</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処理能力（公称能力）　　１０トン／日</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出典：「一般廃棄物処理事業実態調査」（平成３０年、環境省）</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③</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処理能力（公称能力）に対する余裕分の割合　　２８．０％</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・年間処理可能量</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処理能力（公称能力）１０（トン）×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年間稼働可能日数２３８（日）＝</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２，３８０（トン／年）</w:t>
      </w:r>
    </w:p>
    <w:p>
      <w:pPr>
        <w:pStyle w:val="0"/>
        <w:ind w:firstLine="4830" w:firstLineChars="2300"/>
        <w:rPr>
          <w:rFonts w:hint="default" w:ascii="HG丸ｺﾞｼｯｸM-PRO" w:hAnsi="HG丸ｺﾞｼｯｸM-PRO" w:eastAsia="HG丸ｺﾞｼｯｸM-PRO"/>
        </w:rPr>
      </w:pP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・年間処理量実績割合</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年間処理量実績１，７１４（トン）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年間処理可能量２，３８０（トン）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７２．０（％）</w:t>
      </w:r>
    </w:p>
    <w:p>
      <w:pPr>
        <w:pStyle w:val="0"/>
        <w:ind w:firstLine="630" w:firstLineChars="300"/>
        <w:rPr>
          <w:rFonts w:hint="default" w:ascii="HG丸ｺﾞｼｯｸM-PRO" w:hAnsi="HG丸ｺﾞｼｯｸM-PRO" w:eastAsia="HG丸ｺﾞｼｯｸM-PRO"/>
        </w:rPr>
      </w:pP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・余裕分の割合</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１００（％）</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年間処理量実績割合７２．０（％）</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２８．０（％）</w:t>
      </w:r>
    </w:p>
    <w:p>
      <w:pPr>
        <w:pStyle w:val="0"/>
        <w:ind w:firstLine="630" w:firstLineChars="300"/>
        <w:rPr>
          <w:rFonts w:hint="default" w:ascii="HG丸ｺﾞｼｯｸM-PRO" w:hAnsi="HG丸ｺﾞｼｯｸM-PRO" w:eastAsia="HG丸ｺﾞｼｯｸM-PRO"/>
          <w:highlight w:val="yellow"/>
        </w:rPr>
      </w:pPr>
    </w:p>
    <w:p>
      <w:pPr>
        <w:pStyle w:val="0"/>
        <w:ind w:left="1260" w:leftChars="300" w:hanging="630" w:hangingChars="300"/>
        <w:rPr>
          <w:rFonts w:hint="default" w:ascii="HG丸ｺﾞｼｯｸM-PRO" w:hAnsi="HG丸ｺﾞｼｯｸM-PRO" w:eastAsia="HG丸ｺﾞｼｯｸM-PRO"/>
          <w:sz w:val="22"/>
          <w:highlight w:val="yellow"/>
        </w:rPr>
      </w:pPr>
      <w:r>
        <w:rPr>
          <w:rFonts w:hint="eastAsia" w:ascii="HG丸ｺﾞｼｯｸM-PRO" w:hAnsi="HG丸ｺﾞｼｯｸM-PRO" w:eastAsia="HG丸ｺﾞｼｯｸM-PRO"/>
        </w:rPr>
        <w:t>出典：「粗大ごみ処理施設整備計画書、施設規模及び計画ごみ質の算定根拠　２２頁」（１９９４年、東金市外三町清掃組合）（施設整備規模の算出に基づく年間実稼働日数２５８日－年間整備日実績１５日－年間点検・清掃日実績５日＝年間稼働可能日数２３８日）</w:t>
      </w:r>
    </w:p>
    <w:p>
      <w:pPr>
        <w:pStyle w:val="0"/>
        <w:rPr>
          <w:rFonts w:hint="default"/>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④</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年間処理量の実績に対する分担率</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分担率は最大で２０％となるが、一般廃棄物（ごみ）処理基本計画の施設整備構想に用いる計画年間ごみ処理量において、災害廃棄物の処理量割合を１０％と設定していることから、これに従い１０％とする。</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出典：「一般廃棄物（ごみ）処理基本計画　９０頁」（平成３０年３月、東金市外三市町清掃組合）</w:t>
      </w:r>
    </w:p>
    <w:p>
      <w:pPr>
        <w:pStyle w:val="0"/>
        <w:rPr>
          <w:rFonts w:hint="default"/>
        </w:rPr>
      </w:pPr>
    </w:p>
    <w:p>
      <w:pPr>
        <w:pStyle w:val="3"/>
        <w:rPr>
          <w:rFonts w:hint="default"/>
        </w:rPr>
      </w:pPr>
      <w:r>
        <w:rPr>
          <w:rFonts w:hint="eastAsia"/>
        </w:rPr>
        <w:t>推計結果</w:t>
      </w:r>
    </w:p>
    <w:p>
      <w:pPr>
        <w:pStyle w:val="15"/>
        <w:numPr>
          <w:ilvl w:val="0"/>
          <w:numId w:val="4"/>
        </w:numPr>
        <w:ind w:leftChars="0"/>
        <w:rPr>
          <w:rFonts w:hint="default"/>
        </w:rPr>
      </w:pPr>
      <w:r>
        <w:rPr>
          <w:rFonts w:hint="eastAsia" w:ascii="HG丸ｺﾞｼｯｸM-PRO" w:hAnsi="HG丸ｺﾞｼｯｸM-PRO" w:eastAsia="HG丸ｺﾞｼｯｸM-PRO"/>
        </w:rPr>
        <w:t>災害廃棄物の処理可能量の推計結果は図表６に示すとおりである。</w:t>
      </w:r>
    </w:p>
    <w:p>
      <w:pPr>
        <w:pStyle w:val="15"/>
        <w:numPr>
          <w:ilvl w:val="0"/>
          <w:numId w:val="4"/>
        </w:numPr>
        <w:ind w:leftChars="0"/>
        <w:rPr>
          <w:rFonts w:hint="default"/>
        </w:rPr>
      </w:pPr>
      <w:r>
        <w:rPr>
          <w:rFonts w:hint="eastAsia" w:ascii="HG丸ｺﾞｼｯｸM-PRO" w:hAnsi="HG丸ｺﾞｼｯｸM-PRO" w:eastAsia="HG丸ｺﾞｼｯｸM-PRO"/>
        </w:rPr>
        <w:t>本編の図表１－８に示したとおり、片付けごみの発生量は約５，８８９トンであることから、処理期間を３年とした場合、既存の公共の破砕施設だけでは処理量が不足することが想定される。</w:t>
      </w:r>
    </w:p>
    <w:p>
      <w:pPr>
        <w:pStyle w:val="35"/>
        <w:spacing w:after="180" w:afterLines="0" w:afterAutospacing="0"/>
        <w:ind w:firstLine="21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巻末図表６　破砕施設の災害廃棄物の処理可能量</w:t>
            </w:r>
          </w:p>
        </w:tc>
      </w:tr>
    </w:tbl>
    <w:p>
      <w:pPr>
        <w:pStyle w:val="35"/>
        <w:spacing w:after="180" w:afterLines="0" w:afterAutospacing="0"/>
        <w:ind w:firstLine="210"/>
        <w:rPr>
          <w:rFonts w:hint="default"/>
        </w:rPr>
      </w:pPr>
    </w:p>
    <w:tbl>
      <w:tblPr>
        <w:tblStyle w:val="45"/>
        <w:tblW w:w="7756"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5103"/>
        <w:gridCol w:w="2653"/>
      </w:tblGrid>
      <w:tr>
        <w:trPr/>
        <w:tc>
          <w:tcPr>
            <w:tcW w:w="5103"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施設名称</w:t>
            </w:r>
          </w:p>
        </w:tc>
        <w:tc>
          <w:tcPr>
            <w:tcW w:w="2653"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処理可能量（トン</w:t>
            </w:r>
            <w:r>
              <w:rPr>
                <w:rFonts w:hint="eastAsia" w:ascii="HG丸ｺﾞｼｯｸM-PRO" w:hAnsi="HG丸ｺﾞｼｯｸM-PRO" w:eastAsia="HG丸ｺﾞｼｯｸM-PRO"/>
              </w:rPr>
              <w:t>/</w:t>
            </w:r>
            <w:r>
              <w:rPr>
                <w:rFonts w:hint="eastAsia" w:ascii="HG丸ｺﾞｼｯｸM-PRO" w:hAnsi="HG丸ｺﾞｼｯｸM-PRO" w:eastAsia="HG丸ｺﾞｼｯｸM-PRO"/>
              </w:rPr>
              <w:t>年）</w:t>
            </w:r>
          </w:p>
        </w:tc>
      </w:tr>
      <w:tr>
        <w:trPr/>
        <w:tc>
          <w:tcPr>
            <w:tcW w:w="510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東金市外三市町環境クリーンセンター</w:t>
            </w:r>
          </w:p>
        </w:tc>
        <w:tc>
          <w:tcPr>
            <w:tcW w:w="2653"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１７１</w:t>
            </w:r>
          </w:p>
        </w:tc>
      </w:tr>
    </w:tbl>
    <w:p>
      <w:pPr>
        <w:pStyle w:val="0"/>
        <w:rPr>
          <w:rFonts w:hint="default"/>
        </w:rPr>
      </w:pPr>
    </w:p>
    <w:p>
      <w:pPr>
        <w:pStyle w:val="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３　最終処分場</w:t>
            </w:r>
          </w:p>
        </w:tc>
      </w:tr>
    </w:tbl>
    <w:p>
      <w:pPr>
        <w:pStyle w:val="3"/>
        <w:numPr>
          <w:ilvl w:val="2"/>
          <w:numId w:val="23"/>
        </w:numPr>
        <w:rPr>
          <w:rFonts w:hint="default"/>
        </w:rPr>
      </w:pPr>
      <w:r>
        <w:rPr>
          <w:rFonts w:hint="eastAsia"/>
        </w:rPr>
        <w:t>推計式</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災害廃棄物の処理可能量（ｍ</w:t>
      </w:r>
      <w:r>
        <w:rPr>
          <w:rFonts w:hint="eastAsia" w:ascii="HG丸ｺﾞｼｯｸM-PRO" w:hAnsi="HG丸ｺﾞｼｯｸM-PRO" w:eastAsia="HG丸ｺﾞｼｯｸM-PRO"/>
          <w:vertAlign w:val="superscript"/>
        </w:rPr>
        <w:t>3</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現時点での残余容量</w:t>
      </w:r>
      <w:bookmarkStart w:id="10" w:name="_Toc528746058"/>
      <w:r>
        <w:rPr>
          <w:rFonts w:hint="eastAsia" w:ascii="HG丸ｺﾞｼｯｸM-PRO" w:hAnsi="HG丸ｺﾞｼｯｸM-PRO" w:eastAsia="HG丸ｺﾞｼｯｸM-PRO"/>
        </w:rPr>
        <w:t>（ｍ</w:t>
      </w:r>
      <w:r>
        <w:rPr>
          <w:rFonts w:hint="eastAsia" w:ascii="HG丸ｺﾞｼｯｸM-PRO" w:hAnsi="HG丸ｺﾞｼｯｸM-PRO" w:eastAsia="HG丸ｺﾞｼｯｸM-PRO"/>
          <w:vertAlign w:val="superscript"/>
        </w:rPr>
        <w:t>3</w:t>
      </w:r>
      <w:r>
        <w:rPr>
          <w:rFonts w:hint="eastAsia" w:ascii="HG丸ｺﾞｼｯｸM-PRO" w:hAnsi="HG丸ｺﾞｼｯｸM-PRO" w:eastAsia="HG丸ｺﾞｼｯｸM-PRO"/>
        </w:rPr>
        <w:t>）</w:t>
      </w:r>
      <w:bookmarkEnd w:id="10"/>
    </w:p>
    <w:p>
      <w:pPr>
        <w:pStyle w:val="0"/>
        <w:rPr>
          <w:rFonts w:hint="default"/>
        </w:rPr>
      </w:pPr>
    </w:p>
    <w:p>
      <w:pPr>
        <w:pStyle w:val="3"/>
        <w:rPr>
          <w:rFonts w:hint="default"/>
        </w:rPr>
      </w:pPr>
      <w:r>
        <w:rPr>
          <w:rFonts w:hint="eastAsia"/>
        </w:rPr>
        <w:t>設定数値</w:t>
      </w:r>
    </w:p>
    <w:p>
      <w:pPr>
        <w:pStyle w:val="0"/>
        <w:numPr>
          <w:ilvl w:val="2"/>
          <w:numId w:val="0"/>
        </w:numPr>
        <w:rPr>
          <w:rFonts w:hint="default" w:ascii="HG丸ｺﾞｼｯｸM-PRO" w:hAnsi="HG丸ｺﾞｼｯｸM-PRO" w:eastAsia="HG丸ｺﾞｼｯｸM-PRO"/>
        </w:rPr>
      </w:pPr>
      <w:r>
        <w:rPr>
          <w:rFonts w:hint="eastAsia" w:ascii="HG丸ｺﾞｼｯｸM-PRO" w:hAnsi="HG丸ｺﾞｼｯｸM-PRO" w:eastAsia="HG丸ｺﾞｼｯｸM-PRO"/>
        </w:rPr>
        <w:t>　○　現時点での残余容量　　５５，３６２ｍ</w:t>
      </w:r>
      <w:r>
        <w:rPr>
          <w:rFonts w:hint="eastAsia" w:ascii="HG丸ｺﾞｼｯｸM-PRO" w:hAnsi="HG丸ｺﾞｼｯｸM-PRO" w:eastAsia="HG丸ｺﾞｼｯｸM-PRO"/>
          <w:vertAlign w:val="superscript"/>
        </w:rPr>
        <w:t>3</w:t>
      </w:r>
      <w:r>
        <w:rPr>
          <w:rFonts w:hint="eastAsia" w:ascii="HG丸ｺﾞｼｯｸM-PRO" w:hAnsi="HG丸ｺﾞｼｯｸM-PRO" w:eastAsia="HG丸ｺﾞｼｯｸM-PRO"/>
        </w:rPr>
        <w:t>（２０２０年３月末時点）</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※残余容量には埋立後の最終覆土２２，９００ｍ</w:t>
      </w:r>
      <w:r>
        <w:rPr>
          <w:rFonts w:hint="eastAsia" w:ascii="HG丸ｺﾞｼｯｸM-PRO" w:hAnsi="HG丸ｺﾞｼｯｸM-PRO" w:eastAsia="HG丸ｺﾞｼｯｸM-PRO"/>
          <w:vertAlign w:val="superscript"/>
        </w:rPr>
        <w:t>3</w:t>
      </w:r>
      <w:r>
        <w:rPr>
          <w:rFonts w:hint="eastAsia" w:ascii="HG丸ｺﾞｼｯｸM-PRO" w:hAnsi="HG丸ｺﾞｼｯｸM-PRO" w:eastAsia="HG丸ｺﾞｼｯｸM-PRO"/>
        </w:rPr>
        <w:t>を含まない。</w:t>
      </w:r>
    </w:p>
    <w:p>
      <w:pPr>
        <w:pStyle w:val="0"/>
        <w:ind w:left="1050" w:leftChars="200" w:hanging="630"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出典：「グリーンオアシス大網年度別埋立量及び残余容量」（２０２０年３月、東金市外三市町清掃組合）</w:t>
      </w:r>
    </w:p>
    <w:p>
      <w:pPr>
        <w:rPr>
          <w:rFonts w:hint="default" w:ascii="HG丸ｺﾞｼｯｸM-PRO" w:hAnsi="HG丸ｺﾞｼｯｸM-PRO" w:eastAsia="HG丸ｺﾞｼｯｸM-PRO"/>
        </w:rPr>
        <w:sectPr>
          <w:footerReference r:id="rId27" w:type="default"/>
          <w:pgSz w:w="11906" w:h="16838"/>
          <w:pgMar w:top="1440" w:right="1077" w:bottom="1440" w:left="1077" w:header="851" w:footer="992" w:gutter="0"/>
          <w:pgNumType w:start="1"/>
          <w:cols w:space="720"/>
          <w:textDirection w:val="lrTb"/>
          <w:docGrid w:type="linesAndChars" w:linePitch="360"/>
        </w:sect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資料３　一次仮置場の必要面積の算定方法</w:t>
            </w:r>
          </w:p>
        </w:tc>
      </w:tr>
    </w:tbl>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一次仮置場の必要面積は、「処理スケジュールを考慮した面積の算定方法」を用いて算定した。</w:t>
      </w:r>
    </w:p>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処理スケジュールを考慮した面積の算定方法」とは、想定する処理スケジュールに基づく災害廃棄物の仮置場への搬入量及び仮置場からの搬出量から仮置量を推計して必要面積を算定する方法である。すなわち、仮置場では災害廃棄物の搬入と搬出が並行して行われることから、搬入量と搬出量の差に相当する量を保管できる面積として求めるという考え方である。仮置場における災害廃棄物の搬入・搬出を考慮した方法であり、より実態に近い必要面積の算定を行う方法である。</w:t>
      </w:r>
    </w:p>
    <w:p>
      <w:pPr>
        <w:pStyle w:val="0"/>
        <w:widowControl w:val="1"/>
        <w:jc w:val="left"/>
        <w:rPr>
          <w:rFonts w:hint="default" w:ascii="HG丸ｺﾞｼｯｸM-PRO" w:hAnsi="HG丸ｺﾞｼｯｸM-PRO" w:eastAsia="HG丸ｺﾞｼｯｸM-PRO"/>
        </w:rPr>
      </w:pPr>
    </w:p>
    <w:p>
      <w:pPr>
        <w:pStyle w:val="3"/>
        <w:numPr>
          <w:ilvl w:val="2"/>
          <w:numId w:val="24"/>
        </w:numPr>
        <w:rPr>
          <w:rFonts w:hint="default"/>
        </w:rPr>
      </w:pPr>
      <w:r>
        <w:rPr>
          <w:rFonts w:hint="eastAsia"/>
        </w:rPr>
        <w:t>必要面積の算定式</w:t>
      </w:r>
    </w:p>
    <w:p>
      <w:pPr>
        <w:pStyle w:val="0"/>
        <w:ind w:firstLine="630" w:firstLineChars="300"/>
        <w:rPr>
          <w:rFonts w:hint="default" w:ascii="HG丸ｺﾞｼｯｸM-PRO" w:hAnsi="HG丸ｺﾞｼｯｸM-PRO" w:eastAsia="HG丸ｺﾞｼｯｸM-PRO"/>
          <w:bdr w:val="single" w:color="auto" w:sz="4" w:space="0"/>
          <w:shd w:val="pct15" w:color="auto" w:fill="FFFFFF"/>
        </w:rPr>
      </w:pPr>
      <w:r>
        <w:rPr>
          <w:rFonts w:hint="eastAsia" w:ascii="HG丸ｺﾞｼｯｸM-PRO" w:hAnsi="HG丸ｺﾞｼｯｸM-PRO" w:eastAsia="HG丸ｺﾞｼｯｸM-PRO"/>
          <w:bdr w:val="single" w:color="auto" w:sz="4" w:space="0"/>
          <w:shd w:val="pct15" w:color="auto" w:fill="FFFFFF"/>
        </w:rPr>
        <w:t>面　積＝仮置量÷見かけ比重÷積み上げ高さ×（１＋作業スペース割合）</w:t>
      </w:r>
    </w:p>
    <w:p>
      <w:pPr>
        <w:pStyle w:val="0"/>
        <w:ind w:firstLine="84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rPr>
        <w:t>仮置量＝災害廃棄物の搬入量－搬出量</w:t>
      </w:r>
    </w:p>
    <w:p>
      <w:pPr>
        <w:pStyle w:val="0"/>
        <w:ind w:firstLine="84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rPr>
        <w:t>搬入量　　　　　：搬入スケジュールに基づき設定</w:t>
      </w:r>
    </w:p>
    <w:p>
      <w:pPr>
        <w:pStyle w:val="0"/>
        <w:ind w:firstLine="84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rPr>
        <w:t>搬出量　　　　　：搬出スケジュールに基づき設定</w:t>
      </w:r>
    </w:p>
    <w:p>
      <w:pPr>
        <w:pStyle w:val="0"/>
        <w:ind w:firstLine="84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rPr>
        <w:t>見かけ比重　　　：可燃物</w:t>
      </w:r>
      <w:r>
        <w:rPr>
          <w:rFonts w:hint="eastAsia" w:ascii="HG丸ｺﾞｼｯｸM-PRO" w:hAnsi="HG丸ｺﾞｼｯｸM-PRO" w:eastAsia="HG丸ｺﾞｼｯｸM-PRO"/>
        </w:rPr>
        <w:t>0.4</w:t>
      </w:r>
      <w:r>
        <w:rPr>
          <w:rFonts w:hint="eastAsia" w:ascii="HG丸ｺﾞｼｯｸM-PRO" w:hAnsi="HG丸ｺﾞｼｯｸM-PRO" w:eastAsia="HG丸ｺﾞｼｯｸM-PRO"/>
        </w:rPr>
        <w:t>（ｔ</w:t>
      </w:r>
      <w:r>
        <w:rPr>
          <w:rFonts w:hint="eastAsia" w:ascii="HG丸ｺﾞｼｯｸM-PRO" w:hAnsi="HG丸ｺﾞｼｯｸM-PRO" w:eastAsia="HG丸ｺﾞｼｯｸM-PRO"/>
        </w:rPr>
        <w:t>/m</w:t>
      </w:r>
      <w:r>
        <w:rPr>
          <w:rFonts w:hint="eastAsia" w:ascii="HG丸ｺﾞｼｯｸM-PRO" w:hAnsi="HG丸ｺﾞｼｯｸM-PRO" w:eastAsia="HG丸ｺﾞｼｯｸM-PRO"/>
          <w:vertAlign w:val="superscript"/>
        </w:rPr>
        <w:t>3</w:t>
      </w:r>
      <w:r>
        <w:rPr>
          <w:rFonts w:hint="eastAsia" w:ascii="HG丸ｺﾞｼｯｸM-PRO" w:hAnsi="HG丸ｺﾞｼｯｸM-PRO" w:eastAsia="HG丸ｺﾞｼｯｸM-PRO"/>
        </w:rPr>
        <w:t>）、不燃物</w:t>
      </w:r>
      <w:r>
        <w:rPr>
          <w:rFonts w:hint="eastAsia" w:ascii="HG丸ｺﾞｼｯｸM-PRO" w:hAnsi="HG丸ｺﾞｼｯｸM-PRO" w:eastAsia="HG丸ｺﾞｼｯｸM-PRO"/>
        </w:rPr>
        <w:t>1.1</w:t>
      </w:r>
      <w:r>
        <w:rPr>
          <w:rFonts w:hint="eastAsia" w:ascii="HG丸ｺﾞｼｯｸM-PRO" w:hAnsi="HG丸ｺﾞｼｯｸM-PRO" w:eastAsia="HG丸ｺﾞｼｯｸM-PRO"/>
        </w:rPr>
        <w:t>（ｔ</w:t>
      </w:r>
      <w:r>
        <w:rPr>
          <w:rFonts w:hint="eastAsia" w:ascii="HG丸ｺﾞｼｯｸM-PRO" w:hAnsi="HG丸ｺﾞｼｯｸM-PRO" w:eastAsia="HG丸ｺﾞｼｯｸM-PRO"/>
        </w:rPr>
        <w:t>/m</w:t>
      </w:r>
      <w:r>
        <w:rPr>
          <w:rFonts w:hint="eastAsia" w:ascii="HG丸ｺﾞｼｯｸM-PRO" w:hAnsi="HG丸ｺﾞｼｯｸM-PRO" w:eastAsia="HG丸ｺﾞｼｯｸM-PRO"/>
          <w:vertAlign w:val="superscript"/>
        </w:rPr>
        <w:t>3</w:t>
      </w:r>
      <w:r>
        <w:rPr>
          <w:rFonts w:hint="eastAsia" w:ascii="HG丸ｺﾞｼｯｸM-PRO" w:hAnsi="HG丸ｺﾞｼｯｸM-PRO" w:eastAsia="HG丸ｺﾞｼｯｸM-PRO"/>
        </w:rPr>
        <w:t>）</w:t>
      </w:r>
    </w:p>
    <w:p>
      <w:pPr>
        <w:pStyle w:val="0"/>
        <w:ind w:left="2100" w:leftChars="400" w:hanging="1260" w:hangingChars="600"/>
        <w:rPr>
          <w:rFonts w:hint="default" w:ascii="HG丸ｺﾞｼｯｸM-PRO" w:hAnsi="HG丸ｺﾞｼｯｸM-PRO" w:eastAsia="HG丸ｺﾞｼｯｸM-PRO"/>
        </w:rPr>
      </w:pPr>
      <w:r>
        <w:rPr>
          <w:rFonts w:hint="eastAsia" w:ascii="HG丸ｺﾞｼｯｸM-PRO" w:hAnsi="HG丸ｺﾞｼｯｸM-PRO" w:eastAsia="HG丸ｺﾞｼｯｸM-PRO"/>
        </w:rPr>
        <w:t>積み上げ高さ　　：５ｍ以下が望ましい。</w:t>
      </w:r>
    </w:p>
    <w:p>
      <w:pPr>
        <w:pStyle w:val="0"/>
        <w:ind w:left="2940" w:leftChars="13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※コンクリートがらや土砂等、５ｍ以上積み上げても火災発生のリスクが少ない種類については、積み上げ高さを個別に設定してもよい。</w:t>
      </w:r>
    </w:p>
    <w:p>
      <w:pPr>
        <w:pStyle w:val="0"/>
        <w:ind w:left="630" w:leftChars="3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作業スペース割合：</w:t>
      </w:r>
      <w:r>
        <w:rPr>
          <w:rFonts w:hint="eastAsia" w:ascii="HG丸ｺﾞｼｯｸM-PRO" w:hAnsi="HG丸ｺﾞｼｯｸM-PRO" w:eastAsia="HG丸ｺﾞｼｯｸM-PRO"/>
        </w:rPr>
        <w:t>100</w:t>
      </w:r>
      <w:r>
        <w:rPr>
          <w:rFonts w:hint="eastAsia" w:ascii="HG丸ｺﾞｼｯｸM-PRO" w:hAnsi="HG丸ｺﾞｼｯｸM-PRO" w:eastAsia="HG丸ｺﾞｼｯｸM-PRO"/>
        </w:rPr>
        <w:t>％</w:t>
      </w:r>
    </w:p>
    <w:p>
      <w:pPr>
        <w:pStyle w:val="0"/>
        <w:rPr>
          <w:rFonts w:hint="default" w:ascii="HG丸ｺﾞｼｯｸM-PRO" w:hAnsi="HG丸ｺﾞｼｯｸM-PRO" w:eastAsia="HG丸ｺﾞｼｯｸM-PRO"/>
        </w:rPr>
      </w:pPr>
    </w:p>
    <w:p>
      <w:pPr>
        <w:pStyle w:val="3"/>
        <w:rPr>
          <w:rFonts w:hint="default"/>
        </w:rPr>
      </w:pPr>
      <w:r>
        <w:rPr>
          <w:rFonts w:hint="eastAsia"/>
        </w:rPr>
        <w:t>必要面積の算定手順</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仮置場の必要面積は、「①搬入量の設定」⇒「②搬出量の設定」⇒「③仮置量の算定」⇒「④必要面積の算定」の手順で算定した。</w:t>
      </w:r>
    </w:p>
    <w:p>
      <w:pPr>
        <w:pStyle w:val="0"/>
        <w:rPr>
          <w:rFonts w:hint="default"/>
        </w:rPr>
      </w:pPr>
    </w:p>
    <w:p>
      <w:pPr>
        <w:pStyle w:val="0"/>
        <w:rPr>
          <w:rFonts w:hint="default"/>
        </w:rPr>
      </w:pPr>
      <w:r>
        <w:rPr>
          <w:rFonts w:hint="default"/>
        </w:rPr>
        <w:drawing>
          <wp:inline distT="0" distB="0" distL="0" distR="0">
            <wp:extent cx="6188710" cy="1010920"/>
            <wp:effectExtent l="0" t="0" r="0" b="0"/>
            <wp:docPr id="1037" name="Picture 53"/>
            <a:graphic xmlns:a="http://schemas.openxmlformats.org/drawingml/2006/main">
              <a:graphicData uri="http://schemas.openxmlformats.org/drawingml/2006/picture">
                <pic:pic xmlns:pic="http://schemas.openxmlformats.org/drawingml/2006/picture">
                  <pic:nvPicPr>
                    <pic:cNvPr id="1037" name="Picture 53"/>
                    <pic:cNvPicPr>
                      <a:picLocks noChangeAspect="1" noChangeArrowheads="1"/>
                    </pic:cNvPicPr>
                  </pic:nvPicPr>
                  <pic:blipFill>
                    <a:blip r:embed="rId30"/>
                    <a:stretch>
                      <a:fillRect/>
                    </a:stretch>
                  </pic:blipFill>
                  <pic:spPr>
                    <a:xfrm>
                      <a:off x="0" y="0"/>
                      <a:ext cx="6188710" cy="1010920"/>
                    </a:xfrm>
                    <a:prstGeom prst="rect">
                      <a:avLst/>
                    </a:prstGeom>
                    <a:noFill/>
                    <a:ln>
                      <a:noFill/>
                    </a:ln>
                  </pic:spPr>
                </pic:pic>
              </a:graphicData>
            </a:graphic>
          </wp:inline>
        </w:drawing>
      </w:r>
    </w:p>
    <w:p>
      <w:pPr>
        <w:pStyle w:val="0"/>
        <w:widowControl w:val="1"/>
        <w:jc w:val="left"/>
        <w:rPr>
          <w:rFonts w:hint="default"/>
        </w:rPr>
      </w:pPr>
      <w:r>
        <w:rPr>
          <w:rFonts w:hint="default"/>
        </w:rPr>
        <w:br w:type="page"/>
      </w:r>
    </w:p>
    <w:p>
      <w:pPr>
        <w:pStyle w:val="4"/>
        <w:rPr>
          <w:rFonts w:hint="default"/>
        </w:rPr>
      </w:pPr>
      <w:r>
        <w:rPr>
          <w:rFonts w:hint="eastAsia"/>
        </w:rPr>
        <w:t>搬入量の設定</w:t>
      </w:r>
    </w:p>
    <w:p>
      <w:pPr>
        <w:pStyle w:val="0"/>
        <w:jc w:val="center"/>
        <w:rPr>
          <w:rFonts w:hint="default" w:ascii="ＭＳ ゴシック" w:hAnsi="ＭＳ ゴシック" w:eastAsia="ＭＳ ゴシック"/>
        </w:rPr>
      </w:pPr>
      <w:r>
        <w:rPr>
          <w:rFonts w:hint="eastAsia"/>
        </w:rPr>
        <w:t>　　　　</w:t>
      </w:r>
      <w:r>
        <w:rPr>
          <w:rFonts w:hint="eastAsia"/>
        </w:rPr>
        <w:drawing>
          <wp:inline distT="0" distB="0" distL="0" distR="0">
            <wp:extent cx="5583555" cy="911225"/>
            <wp:effectExtent l="0" t="0" r="0" b="0"/>
            <wp:docPr id="1038" name="Picture 54"/>
            <a:graphic xmlns:a="http://schemas.openxmlformats.org/drawingml/2006/main">
              <a:graphicData uri="http://schemas.openxmlformats.org/drawingml/2006/picture">
                <pic:pic xmlns:pic="http://schemas.openxmlformats.org/drawingml/2006/picture">
                  <pic:nvPicPr>
                    <pic:cNvPr id="1038" name="Picture 54"/>
                    <pic:cNvPicPr>
                      <a:picLocks noChangeAspect="1" noChangeArrowheads="1"/>
                    </pic:cNvPicPr>
                  </pic:nvPicPr>
                  <pic:blipFill>
                    <a:blip r:embed="rId31"/>
                    <a:stretch>
                      <a:fillRect/>
                    </a:stretch>
                  </pic:blipFill>
                  <pic:spPr>
                    <a:xfrm>
                      <a:off x="0" y="0"/>
                      <a:ext cx="5583555" cy="911225"/>
                    </a:xfrm>
                    <a:prstGeom prst="rect">
                      <a:avLst/>
                    </a:prstGeom>
                    <a:noFill/>
                    <a:ln>
                      <a:noFill/>
                    </a:ln>
                  </pic:spPr>
                </pic:pic>
              </a:graphicData>
            </a:graphic>
          </wp:inline>
        </w:drawing>
      </w:r>
    </w:p>
    <w:p>
      <w:pPr>
        <w:pStyle w:val="0"/>
        <w:rPr>
          <w:rFonts w:hint="default"/>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【搬入スケジュールの検討】</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片付けごみの搬入開始時期や終了時期、建物撤去（必要に応じて解体）の開始時期や終了時期を設定した。</w:t>
      </w:r>
    </w:p>
    <w:p>
      <w:pPr>
        <w:pStyle w:val="0"/>
        <w:rPr>
          <w:rFonts w:hint="default" w:ascii="HG丸ｺﾞｼｯｸM-PRO" w:hAnsi="HG丸ｺﾞｼｯｸM-PRO" w:eastAsia="HG丸ｺﾞｼｯｸM-PRO"/>
        </w:rPr>
      </w:pPr>
    </w:p>
    <w:p>
      <w:pPr>
        <w:pStyle w:val="0"/>
        <w:ind w:firstLine="420" w:firstLineChars="200"/>
        <w:rPr>
          <w:rFonts w:hint="default" w:ascii="HG丸ｺﾞｼｯｸM-PRO" w:hAnsi="HG丸ｺﾞｼｯｸM-PRO" w:eastAsia="HG丸ｺﾞｼｯｸM-PRO"/>
          <w:bdr w:val="single" w:color="auto" w:sz="4" w:space="0"/>
        </w:rPr>
      </w:pPr>
      <w:r>
        <w:rPr>
          <w:rFonts w:hint="eastAsia" w:ascii="HG丸ｺﾞｼｯｸM-PRO" w:hAnsi="HG丸ｺﾞｼｯｸM-PRO" w:eastAsia="HG丸ｺﾞｼｯｸM-PRO"/>
          <w:bdr w:val="single" w:color="auto" w:sz="4" w:space="0"/>
        </w:rPr>
        <w:t>設定した搬入スケジュール</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発災直後から片付けごみの排出が開始され、４ヵ月後で終了する計画とした。</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発災５ヵ月目から本格的に建物撤去（必要に応じて解体）を開始する計画とした。</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発災から２４ヵ月で建物撤去（必要に応じて解体）を概ね終了する計画とした。</w:t>
      </w:r>
    </w:p>
    <w:p>
      <w:pPr>
        <w:pStyle w:val="0"/>
        <w:rPr>
          <w:rFonts w:hint="default"/>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【搬入量の設定】</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上記で設定した搬入スケジュールに基づき、片付けごみ・解体がれきの発生量（可燃物、不燃物）をそれぞれの搬入期間で除することで、月毎の搬入量を算定した。また後段で仮置量を算定するために累積搬入量を算定した。片付けごみや解体がれきの搬入量を日毎・月毎に予測することができれば、より実態に近い必要面積の算定が可能となるが、発災前や発災直後から日毎・月毎の搬入量を予測することは難しい。そのため、ここでは毎月、均等に災害廃棄物が仮置場へ搬入される（片付けごみは発災１ヶ月目から４ヵ月後まで、解体がれきは発災５ヶ月目から２４ヶ月目まで均等に搬入される）ものと仮定して搬入量を設定した。</w:t>
      </w:r>
    </w:p>
    <w:p>
      <w:pPr>
        <w:pStyle w:val="0"/>
        <w:ind w:left="42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巻末図表７　搬入される災害廃棄物</w:t>
            </w:r>
          </w:p>
        </w:tc>
      </w:tr>
    </w:tbl>
    <w:p>
      <w:pPr>
        <w:pStyle w:val="0"/>
        <w:ind w:left="420"/>
        <w:rPr>
          <w:rFonts w:hint="default" w:ascii="HG丸ｺﾞｼｯｸM-PRO" w:hAnsi="HG丸ｺﾞｼｯｸM-PRO" w:eastAsia="HG丸ｺﾞｼｯｸM-PRO"/>
        </w:rPr>
      </w:pPr>
    </w:p>
    <w:tbl>
      <w:tblPr>
        <w:tblStyle w:val="45"/>
        <w:tblW w:w="6414"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446"/>
        <w:gridCol w:w="1026"/>
        <w:gridCol w:w="2076"/>
        <w:gridCol w:w="1866"/>
      </w:tblGrid>
      <w:tr>
        <w:trPr/>
        <w:tc>
          <w:tcPr>
            <w:tcW w:w="1446"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区分</w:t>
            </w:r>
          </w:p>
        </w:tc>
        <w:tc>
          <w:tcPr>
            <w:tcW w:w="3102" w:type="dxa"/>
            <w:gridSpan w:val="2"/>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災害廃棄物の種類</w:t>
            </w:r>
          </w:p>
        </w:tc>
        <w:tc>
          <w:tcPr>
            <w:tcW w:w="1866"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発生量（トン）</w:t>
            </w:r>
          </w:p>
        </w:tc>
      </w:tr>
      <w:tr>
        <w:trPr/>
        <w:tc>
          <w:tcPr>
            <w:tcW w:w="1446" w:type="dxa"/>
            <w:vMerge w:val="restart"/>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損壊家屋等の撤去等に伴い生じる廃棄物</w:t>
            </w:r>
          </w:p>
        </w:tc>
        <w:tc>
          <w:tcPr>
            <w:tcW w:w="1026" w:type="dxa"/>
            <w:vMerge w:val="restart"/>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可燃物</w:t>
            </w:r>
          </w:p>
        </w:tc>
        <w:tc>
          <w:tcPr>
            <w:tcW w:w="2076" w:type="dxa"/>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可燃物</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３６４</w:t>
            </w:r>
          </w:p>
        </w:tc>
      </w:tr>
      <w:tr>
        <w:trPr/>
        <w:tc>
          <w:tcPr>
            <w:tcW w:w="1446" w:type="dxa"/>
            <w:vMerge w:val="continue"/>
            <w:vAlign w:val="top"/>
          </w:tcPr>
          <w:p>
            <w:pPr>
              <w:pStyle w:val="0"/>
              <w:spacing w:line="320" w:lineRule="exact"/>
              <w:rPr>
                <w:rFonts w:hint="default" w:ascii="HG丸ｺﾞｼｯｸM-PRO" w:hAnsi="HG丸ｺﾞｼｯｸM-PRO" w:eastAsia="HG丸ｺﾞｼｯｸM-PRO"/>
              </w:rPr>
            </w:pPr>
          </w:p>
        </w:tc>
        <w:tc>
          <w:tcPr>
            <w:tcW w:w="1026" w:type="dxa"/>
            <w:vMerge w:val="continue"/>
            <w:vAlign w:val="top"/>
          </w:tcPr>
          <w:p>
            <w:pPr>
              <w:pStyle w:val="0"/>
              <w:spacing w:line="320" w:lineRule="exact"/>
              <w:rPr>
                <w:rFonts w:hint="default" w:ascii="HG丸ｺﾞｼｯｸM-PRO" w:hAnsi="HG丸ｺﾞｼｯｸM-PRO" w:eastAsia="HG丸ｺﾞｼｯｸM-PRO"/>
              </w:rPr>
            </w:pPr>
          </w:p>
        </w:tc>
        <w:tc>
          <w:tcPr>
            <w:tcW w:w="2076" w:type="dxa"/>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柱角材</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５，４７０</w:t>
            </w:r>
          </w:p>
        </w:tc>
      </w:tr>
      <w:tr>
        <w:trPr/>
        <w:tc>
          <w:tcPr>
            <w:tcW w:w="1446" w:type="dxa"/>
            <w:vMerge w:val="continue"/>
            <w:vAlign w:val="top"/>
          </w:tcPr>
          <w:p>
            <w:pPr>
              <w:pStyle w:val="0"/>
              <w:spacing w:line="320" w:lineRule="exact"/>
              <w:rPr>
                <w:rFonts w:hint="default" w:ascii="HG丸ｺﾞｼｯｸM-PRO" w:hAnsi="HG丸ｺﾞｼｯｸM-PRO" w:eastAsia="HG丸ｺﾞｼｯｸM-PRO"/>
              </w:rPr>
            </w:pPr>
          </w:p>
        </w:tc>
        <w:tc>
          <w:tcPr>
            <w:tcW w:w="1026" w:type="dxa"/>
            <w:vMerge w:val="restart"/>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不燃物</w:t>
            </w:r>
          </w:p>
        </w:tc>
        <w:tc>
          <w:tcPr>
            <w:tcW w:w="2076" w:type="dxa"/>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不燃物</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７，９０１</w:t>
            </w:r>
          </w:p>
        </w:tc>
      </w:tr>
      <w:tr>
        <w:trPr/>
        <w:tc>
          <w:tcPr>
            <w:tcW w:w="1446" w:type="dxa"/>
            <w:vMerge w:val="continue"/>
            <w:vAlign w:val="top"/>
          </w:tcPr>
          <w:p>
            <w:pPr>
              <w:pStyle w:val="0"/>
              <w:spacing w:line="320" w:lineRule="exact"/>
              <w:rPr>
                <w:rFonts w:hint="default" w:ascii="HG丸ｺﾞｼｯｸM-PRO" w:hAnsi="HG丸ｺﾞｼｯｸM-PRO" w:eastAsia="HG丸ｺﾞｼｯｸM-PRO"/>
              </w:rPr>
            </w:pPr>
          </w:p>
        </w:tc>
        <w:tc>
          <w:tcPr>
            <w:tcW w:w="1026" w:type="dxa"/>
            <w:vMerge w:val="continue"/>
            <w:vAlign w:val="top"/>
          </w:tcPr>
          <w:p>
            <w:pPr>
              <w:pStyle w:val="0"/>
              <w:spacing w:line="320" w:lineRule="exact"/>
              <w:rPr>
                <w:rFonts w:hint="default" w:ascii="HG丸ｺﾞｼｯｸM-PRO" w:hAnsi="HG丸ｺﾞｼｯｸM-PRO" w:eastAsia="HG丸ｺﾞｼｯｸM-PRO"/>
              </w:rPr>
            </w:pPr>
          </w:p>
        </w:tc>
        <w:tc>
          <w:tcPr>
            <w:tcW w:w="2076" w:type="dxa"/>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コンクリートがら</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１８，２７４</w:t>
            </w:r>
          </w:p>
        </w:tc>
      </w:tr>
      <w:tr>
        <w:trPr/>
        <w:tc>
          <w:tcPr>
            <w:tcW w:w="1446" w:type="dxa"/>
            <w:vMerge w:val="continue"/>
            <w:vAlign w:val="top"/>
          </w:tcPr>
          <w:p>
            <w:pPr>
              <w:pStyle w:val="0"/>
              <w:spacing w:line="320" w:lineRule="exact"/>
              <w:rPr>
                <w:rFonts w:hint="default" w:ascii="HG丸ｺﾞｼｯｸM-PRO" w:hAnsi="HG丸ｺﾞｼｯｸM-PRO" w:eastAsia="HG丸ｺﾞｼｯｸM-PRO"/>
              </w:rPr>
            </w:pPr>
          </w:p>
        </w:tc>
        <w:tc>
          <w:tcPr>
            <w:tcW w:w="1026" w:type="dxa"/>
            <w:vMerge w:val="continue"/>
            <w:vAlign w:val="top"/>
          </w:tcPr>
          <w:p>
            <w:pPr>
              <w:pStyle w:val="0"/>
              <w:spacing w:line="320" w:lineRule="exact"/>
              <w:rPr>
                <w:rFonts w:hint="default" w:ascii="HG丸ｺﾞｼｯｸM-PRO" w:hAnsi="HG丸ｺﾞｼｯｸM-PRO" w:eastAsia="HG丸ｺﾞｼｯｸM-PRO"/>
              </w:rPr>
            </w:pPr>
          </w:p>
        </w:tc>
        <w:tc>
          <w:tcPr>
            <w:tcW w:w="2076" w:type="dxa"/>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金属</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３９３</w:t>
            </w:r>
          </w:p>
        </w:tc>
      </w:tr>
      <w:tr>
        <w:trPr/>
        <w:tc>
          <w:tcPr>
            <w:tcW w:w="1446" w:type="dxa"/>
            <w:vMerge w:val="continue"/>
            <w:vAlign w:val="top"/>
          </w:tcPr>
          <w:p>
            <w:pPr>
              <w:pStyle w:val="0"/>
              <w:spacing w:line="320" w:lineRule="exact"/>
              <w:rPr>
                <w:rFonts w:hint="default" w:ascii="HG丸ｺﾞｼｯｸM-PRO" w:hAnsi="HG丸ｺﾞｼｯｸM-PRO" w:eastAsia="HG丸ｺﾞｼｯｸM-PRO"/>
              </w:rPr>
            </w:pPr>
          </w:p>
        </w:tc>
        <w:tc>
          <w:tcPr>
            <w:tcW w:w="1026" w:type="dxa"/>
            <w:vMerge w:val="continue"/>
            <w:vAlign w:val="top"/>
          </w:tcPr>
          <w:p>
            <w:pPr>
              <w:pStyle w:val="0"/>
              <w:spacing w:line="320" w:lineRule="exact"/>
              <w:rPr>
                <w:rFonts w:hint="default" w:ascii="HG丸ｺﾞｼｯｸM-PRO" w:hAnsi="HG丸ｺﾞｼｯｸM-PRO" w:eastAsia="HG丸ｺﾞｼｯｸM-PRO"/>
              </w:rPr>
            </w:pPr>
          </w:p>
        </w:tc>
        <w:tc>
          <w:tcPr>
            <w:tcW w:w="2076" w:type="dxa"/>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その他</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９７１</w:t>
            </w:r>
          </w:p>
        </w:tc>
      </w:tr>
      <w:tr>
        <w:trPr/>
        <w:tc>
          <w:tcPr>
            <w:tcW w:w="1446" w:type="dxa"/>
            <w:vMerge w:val="restart"/>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w:t>
            </w:r>
          </w:p>
        </w:tc>
        <w:tc>
          <w:tcPr>
            <w:tcW w:w="3102" w:type="dxa"/>
            <w:gridSpan w:val="2"/>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可燃物</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１，４１３</w:t>
            </w:r>
          </w:p>
        </w:tc>
      </w:tr>
      <w:tr>
        <w:trPr/>
        <w:tc>
          <w:tcPr>
            <w:tcW w:w="1446" w:type="dxa"/>
            <w:vMerge w:val="continue"/>
            <w:vAlign w:val="top"/>
          </w:tcPr>
          <w:p>
            <w:pPr>
              <w:pStyle w:val="0"/>
              <w:spacing w:line="320" w:lineRule="exact"/>
              <w:rPr>
                <w:rFonts w:hint="default" w:ascii="HG丸ｺﾞｼｯｸM-PRO" w:hAnsi="HG丸ｺﾞｼｯｸM-PRO" w:eastAsia="HG丸ｺﾞｼｯｸM-PRO"/>
              </w:rPr>
            </w:pPr>
          </w:p>
        </w:tc>
        <w:tc>
          <w:tcPr>
            <w:tcW w:w="3102" w:type="dxa"/>
            <w:gridSpan w:val="2"/>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不燃物</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４，４７６</w:t>
            </w:r>
          </w:p>
        </w:tc>
      </w:tr>
      <w:tr>
        <w:trPr/>
        <w:tc>
          <w:tcPr>
            <w:tcW w:w="1446" w:type="dxa"/>
            <w:vMerge w:val="restart"/>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合計</w:t>
            </w:r>
          </w:p>
        </w:tc>
        <w:tc>
          <w:tcPr>
            <w:tcW w:w="3102" w:type="dxa"/>
            <w:gridSpan w:val="2"/>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可燃物</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７，２４７</w:t>
            </w:r>
          </w:p>
        </w:tc>
      </w:tr>
      <w:tr>
        <w:trPr/>
        <w:tc>
          <w:tcPr>
            <w:tcW w:w="1446" w:type="dxa"/>
            <w:vMerge w:val="continue"/>
            <w:vAlign w:val="top"/>
          </w:tcPr>
          <w:p>
            <w:pPr>
              <w:pStyle w:val="0"/>
              <w:spacing w:line="320" w:lineRule="exact"/>
              <w:rPr>
                <w:rFonts w:hint="default" w:ascii="HG丸ｺﾞｼｯｸM-PRO" w:hAnsi="HG丸ｺﾞｼｯｸM-PRO" w:eastAsia="HG丸ｺﾞｼｯｸM-PRO"/>
              </w:rPr>
            </w:pPr>
          </w:p>
        </w:tc>
        <w:tc>
          <w:tcPr>
            <w:tcW w:w="3102" w:type="dxa"/>
            <w:gridSpan w:val="2"/>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不燃物</w:t>
            </w:r>
          </w:p>
        </w:tc>
        <w:tc>
          <w:tcPr>
            <w:tcW w:w="1866" w:type="dxa"/>
            <w:vAlign w:val="top"/>
          </w:tcPr>
          <w:p>
            <w:pPr>
              <w:pStyle w:val="0"/>
              <w:spacing w:line="32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３２，０１５</w:t>
            </w:r>
          </w:p>
        </w:tc>
      </w:tr>
    </w:tbl>
    <w:p>
      <w:pPr>
        <w:pStyle w:val="0"/>
        <w:ind w:left="420"/>
        <w:rPr>
          <w:rFonts w:hint="default" w:ascii="HG丸ｺﾞｼｯｸM-PRO" w:hAnsi="HG丸ｺﾞｼｯｸM-PRO" w:eastAsia="HG丸ｺﾞｼｯｸM-PRO"/>
        </w:rPr>
      </w:pPr>
      <w:r>
        <w:rPr>
          <w:rFonts w:hint="eastAsia" w:ascii="HG丸ｺﾞｼｯｸM-PRO" w:hAnsi="HG丸ｺﾞｼｯｸM-PRO" w:eastAsia="HG丸ｺﾞｼｯｸM-PRO"/>
        </w:rPr>
        <w:t>　　　　　　※損壊家屋等の撤去等に伴い生じる廃棄物には、片付けごみは含まない。</w:t>
      </w:r>
    </w:p>
    <w:p>
      <w:pPr>
        <w:pStyle w:val="0"/>
        <w:ind w:left="420"/>
        <w:rPr>
          <w:rFonts w:hint="default" w:ascii="HG丸ｺﾞｼｯｸM-PRO" w:hAnsi="HG丸ｺﾞｼｯｸM-PRO" w:eastAsia="HG丸ｺﾞｼｯｸM-PRO"/>
        </w:rPr>
      </w:pPr>
    </w:p>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※）片付けごみの可燃物・不燃物の割合の設定根拠</w:t>
      </w:r>
    </w:p>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「熊本地震による被害の実態及び災害廃棄物処理の現状と課題」（平成</w:t>
      </w:r>
      <w:r>
        <w:rPr>
          <w:rFonts w:hint="eastAsia" w:ascii="HG丸ｺﾞｼｯｸM-PRO" w:hAnsi="HG丸ｺﾞｼｯｸM-PRO" w:eastAsia="HG丸ｺﾞｼｯｸM-PRO"/>
        </w:rPr>
        <w:t>29</w:t>
      </w:r>
      <w:r>
        <w:rPr>
          <w:rFonts w:hint="eastAsia" w:ascii="HG丸ｺﾞｼｯｸM-PRO" w:hAnsi="HG丸ｺﾞｼｯｸM-PRO" w:eastAsia="HG丸ｺﾞｼｯｸM-PRO"/>
        </w:rPr>
        <w:t>年７月</w:t>
      </w:r>
      <w:r>
        <w:rPr>
          <w:rFonts w:hint="eastAsia" w:ascii="HG丸ｺﾞｼｯｸM-PRO" w:hAnsi="HG丸ｺﾞｼｯｸM-PRO" w:eastAsia="HG丸ｺﾞｼｯｸM-PRO"/>
        </w:rPr>
        <w:t>26</w:t>
      </w:r>
      <w:r>
        <w:rPr>
          <w:rFonts w:hint="eastAsia" w:ascii="HG丸ｺﾞｼｯｸM-PRO" w:hAnsi="HG丸ｺﾞｼｯｸM-PRO" w:eastAsia="HG丸ｺﾞｼｯｸM-PRO"/>
        </w:rPr>
        <w:t>日、熊本県）に掲載</w:t>
      </w:r>
      <w:r>
        <w:rPr>
          <w:rFonts w:hint="default" w:ascii="HG丸ｺﾞｼｯｸM-PRO" w:hAnsi="HG丸ｺﾞｼｯｸM-PRO" w:eastAsia="HG丸ｺﾞｼｯｸM-PRO"/>
        </w:rPr>
        <w:t>されている情報（下表</w:t>
      </w:r>
      <w:r>
        <w:rPr>
          <w:rFonts w:hint="eastAsia" w:ascii="HG丸ｺﾞｼｯｸM-PRO" w:hAnsi="HG丸ｺﾞｼｯｸM-PRO" w:eastAsia="HG丸ｺﾞｼｯｸM-PRO"/>
        </w:rPr>
        <w:t>）より、片付けごみの可燃物（木くず、可燃物）は約</w:t>
      </w:r>
      <w:r>
        <w:rPr>
          <w:rFonts w:hint="eastAsia" w:ascii="HG丸ｺﾞｼｯｸM-PRO" w:hAnsi="HG丸ｺﾞｼｯｸM-PRO" w:eastAsia="HG丸ｺﾞｼｯｸM-PRO"/>
        </w:rPr>
        <w:t>24</w:t>
      </w:r>
      <w:r>
        <w:rPr>
          <w:rFonts w:hint="eastAsia" w:ascii="HG丸ｺﾞｼｯｸM-PRO" w:hAnsi="HG丸ｺﾞｼｯｸM-PRO" w:eastAsia="HG丸ｺﾞｼｯｸM-PRO"/>
        </w:rPr>
        <w:t>％（＝（</w:t>
      </w:r>
      <w:r>
        <w:rPr>
          <w:rFonts w:hint="eastAsia" w:ascii="HG丸ｺﾞｼｯｸM-PRO" w:hAnsi="HG丸ｺﾞｼｯｸM-PRO" w:eastAsia="HG丸ｺﾞｼｯｸM-PRO"/>
        </w:rPr>
        <w:t>45+68</w:t>
      </w:r>
      <w:r>
        <w:rPr>
          <w:rFonts w:hint="eastAsia" w:ascii="HG丸ｺﾞｼｯｸM-PRO" w:hAnsi="HG丸ｺﾞｼｯｸM-PRO" w:eastAsia="HG丸ｺﾞｼｯｸM-PRO"/>
        </w:rPr>
        <w:t>）</w:t>
      </w:r>
      <w:r>
        <w:rPr>
          <w:rFonts w:hint="eastAsia" w:ascii="HG丸ｺﾞｼｯｸM-PRO" w:hAnsi="HG丸ｺﾞｼｯｸM-PRO" w:eastAsia="HG丸ｺﾞｼｯｸM-PRO"/>
        </w:rPr>
        <w:t>/471</w:t>
      </w:r>
      <w:r>
        <w:rPr>
          <w:rFonts w:hint="eastAsia" w:ascii="HG丸ｺﾞｼｯｸM-PRO" w:hAnsi="HG丸ｺﾞｼｯｸM-PRO" w:eastAsia="HG丸ｺﾞｼｯｸM-PRO"/>
        </w:rPr>
        <w:t>×</w:t>
      </w:r>
      <w:r>
        <w:rPr>
          <w:rFonts w:hint="eastAsia" w:ascii="HG丸ｺﾞｼｯｸM-PRO" w:hAnsi="HG丸ｺﾞｼｯｸM-PRO" w:eastAsia="HG丸ｺﾞｼｯｸM-PRO"/>
        </w:rPr>
        <w:t>100</w:t>
      </w:r>
      <w:r>
        <w:rPr>
          <w:rFonts w:hint="eastAsia" w:ascii="HG丸ｺﾞｼｯｸM-PRO" w:hAnsi="HG丸ｺﾞｼｯｸM-PRO" w:eastAsia="HG丸ｺﾞｼｯｸM-PRO"/>
        </w:rPr>
        <w:t>）と、不燃物は約</w:t>
      </w:r>
      <w:r>
        <w:rPr>
          <w:rFonts w:hint="eastAsia" w:ascii="HG丸ｺﾞｼｯｸM-PRO" w:hAnsi="HG丸ｺﾞｼｯｸM-PRO" w:eastAsia="HG丸ｺﾞｼｯｸM-PRO"/>
        </w:rPr>
        <w:t>76</w:t>
      </w:r>
      <w:r>
        <w:rPr>
          <w:rFonts w:hint="eastAsia" w:ascii="HG丸ｺﾞｼｯｸM-PRO" w:hAnsi="HG丸ｺﾞｼｯｸM-PRO" w:eastAsia="HG丸ｺﾞｼｯｸM-PRO"/>
        </w:rPr>
        <w:t>％と設定した。</w:t>
      </w:r>
    </w:p>
    <w:p>
      <w:pPr>
        <w:pStyle w:val="0"/>
        <w:spacing w:line="300" w:lineRule="exact"/>
        <w:ind w:left="210" w:hanging="210" w:hangingChars="100"/>
        <w:rPr>
          <w:rFonts w:hint="default" w:ascii="HG丸ｺﾞｼｯｸM-PRO" w:hAnsi="HG丸ｺﾞｼｯｸM-PRO" w:eastAsia="HG丸ｺﾞｼｯｸM-PRO"/>
          <w:color w:val="FF0000"/>
        </w:rPr>
      </w:pPr>
    </w:p>
    <w:p>
      <w:pPr>
        <w:pStyle w:val="0"/>
        <w:ind w:left="210" w:hanging="210" w:hangingChars="100"/>
        <w:jc w:val="center"/>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mc:AlternateContent>
          <mc:Choice Requires="wps">
            <w:drawing>
              <wp:anchor distT="0" distB="0" distL="114300" distR="114300" simplePos="0" relativeHeight="4294967208" behindDoc="0" locked="0" layoutInCell="1" hidden="0" allowOverlap="1">
                <wp:simplePos x="0" y="0"/>
                <wp:positionH relativeFrom="column">
                  <wp:posOffset>4580890</wp:posOffset>
                </wp:positionH>
                <wp:positionV relativeFrom="paragraph">
                  <wp:posOffset>2515235</wp:posOffset>
                </wp:positionV>
                <wp:extent cx="286385" cy="163830"/>
                <wp:effectExtent l="635" t="635" r="29845" b="10795"/>
                <wp:wrapNone/>
                <wp:docPr id="1039" name="正方形/長方形 1149"/>
                <a:graphic xmlns:a="http://schemas.openxmlformats.org/drawingml/2006/main">
                  <a:graphicData uri="http://schemas.microsoft.com/office/word/2010/wordprocessingShape">
                    <wps:wsp>
                      <wps:cNvPr id="1039" name="正方形/長方形 1149"/>
                      <wps:cNvSpPr>
                        <a:spLocks noChangeArrowheads="1"/>
                      </wps:cNvSpPr>
                      <wps:spPr>
                        <a:xfrm>
                          <a:off x="0" y="0"/>
                          <a:ext cx="286385" cy="163830"/>
                        </a:xfrm>
                        <a:prstGeom prst="rect">
                          <a:avLst/>
                        </a:prstGeom>
                        <a:solidFill>
                          <a:srgbClr val="FFFFFF"/>
                        </a:solidFill>
                        <a:ln w="19050" algn="ctr">
                          <a:solidFill>
                            <a:srgbClr val="FFFFFF"/>
                          </a:solidFill>
                          <a:miter lim="800000"/>
                          <a:headEnd/>
                          <a:tailEnd/>
                        </a:ln>
                        <a:effectLst/>
                      </wps:spPr>
                      <wps:bodyPr/>
                    </wps:wsp>
                  </a:graphicData>
                </a:graphic>
              </wp:anchor>
            </w:drawing>
          </mc:Choice>
          <mc:Fallback>
            <w:pict>
              <v:rect id="正方形/長方形 1149" style="mso-wrap-distance-right:9pt;mso-wrap-distance-bottom:0pt;margin-top:198.05pt;mso-position-vertical-relative:text;mso-position-horizontal-relative:text;position:absolute;height:12.9pt;mso-wrap-distance-top:0pt;width:22.55pt;mso-wrap-distance-left:9pt;margin-left:360.7pt;z-index:-88;" o:spid="_x0000_s1039" o:allowincell="t" o:allowoverlap="t" filled="t" fillcolor="#ffffff" stroked="t" strokecolor="#ffffff" strokeweight="1.5pt" o:spt="1">
                <v:fill/>
                <v:stroke miterlimit="8" filltype="solid"/>
                <v:textbox style="layout-flow:horizontal;"/>
                <v:imagedata o:title=""/>
                <w10:wrap type="none" anchorx="text" anchory="text"/>
              </v:rect>
            </w:pict>
          </mc:Fallback>
        </mc:AlternateContent>
      </w:r>
      <w:r>
        <w:rPr>
          <w:rFonts w:hint="eastAsia" w:ascii="HG丸ｺﾞｼｯｸM-PRO" w:hAnsi="HG丸ｺﾞｼｯｸM-PRO" w:eastAsia="HG丸ｺﾞｼｯｸM-PRO"/>
          <w:color w:val="FF0000"/>
        </w:rPr>
        <w:drawing>
          <wp:inline distT="0" distB="0" distL="0" distR="0">
            <wp:extent cx="4583430" cy="2617470"/>
            <wp:effectExtent l="0" t="0" r="0" b="0"/>
            <wp:docPr id="1040" name="Picture 55"/>
            <a:graphic xmlns:a="http://schemas.openxmlformats.org/drawingml/2006/main">
              <a:graphicData uri="http://schemas.openxmlformats.org/drawingml/2006/picture">
                <pic:pic xmlns:pic="http://schemas.openxmlformats.org/drawingml/2006/picture">
                  <pic:nvPicPr>
                    <pic:cNvPr id="1040" name="Picture 55"/>
                    <pic:cNvPicPr>
                      <a:picLocks noChangeAspect="1" noChangeArrowheads="1"/>
                    </pic:cNvPicPr>
                  </pic:nvPicPr>
                  <pic:blipFill>
                    <a:blip r:embed="rId32"/>
                    <a:stretch>
                      <a:fillRect/>
                    </a:stretch>
                  </pic:blipFill>
                  <pic:spPr>
                    <a:xfrm>
                      <a:off x="0" y="0"/>
                      <a:ext cx="4583430" cy="2617470"/>
                    </a:xfrm>
                    <a:prstGeom prst="rect">
                      <a:avLst/>
                    </a:prstGeom>
                    <a:noFill/>
                    <a:ln>
                      <a:noFill/>
                    </a:ln>
                  </pic:spPr>
                </pic:pic>
              </a:graphicData>
            </a:graphic>
          </wp:inline>
        </w:drawing>
      </w:r>
    </w:p>
    <w:p>
      <w:pPr>
        <w:pStyle w:val="0"/>
        <w:ind w:left="180" w:hanging="180" w:hangingChars="10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出典：「熊本地震による被害の実態及び災害廃棄物処理の現状と課題」（平成</w:t>
      </w:r>
      <w:r>
        <w:rPr>
          <w:rFonts w:hint="eastAsia" w:ascii="HG丸ｺﾞｼｯｸM-PRO" w:hAnsi="HG丸ｺﾞｼｯｸM-PRO" w:eastAsia="HG丸ｺﾞｼｯｸM-PRO"/>
          <w:sz w:val="18"/>
        </w:rPr>
        <w:t>29</w:t>
      </w:r>
      <w:r>
        <w:rPr>
          <w:rFonts w:hint="eastAsia" w:ascii="HG丸ｺﾞｼｯｸM-PRO" w:hAnsi="HG丸ｺﾞｼｯｸM-PRO" w:eastAsia="HG丸ｺﾞｼｯｸM-PRO"/>
          <w:sz w:val="18"/>
        </w:rPr>
        <w:t>年７月</w:t>
      </w:r>
      <w:r>
        <w:rPr>
          <w:rFonts w:hint="eastAsia" w:ascii="HG丸ｺﾞｼｯｸM-PRO" w:hAnsi="HG丸ｺﾞｼｯｸM-PRO" w:eastAsia="HG丸ｺﾞｼｯｸM-PRO"/>
          <w:sz w:val="18"/>
        </w:rPr>
        <w:t>26</w:t>
      </w:r>
      <w:r>
        <w:rPr>
          <w:rFonts w:hint="eastAsia" w:ascii="HG丸ｺﾞｼｯｸM-PRO" w:hAnsi="HG丸ｺﾞｼｯｸM-PRO" w:eastAsia="HG丸ｺﾞｼｯｸM-PRO"/>
          <w:sz w:val="18"/>
        </w:rPr>
        <w:t>日、熊本県）</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巻末図表８　片付けごみの可燃物・不燃物の割合の設定根拠</w:t>
      </w:r>
    </w:p>
    <w:p>
      <w:pPr>
        <w:pStyle w:val="0"/>
        <w:widowControl w:val="1"/>
        <w:jc w:val="left"/>
        <w:rPr>
          <w:rFonts w:hint="default" w:ascii="HG丸ｺﾞｼｯｸM-PRO" w:hAnsi="HG丸ｺﾞｼｯｸM-PRO" w:eastAsia="HG丸ｺﾞｼｯｸM-PRO"/>
          <w:bdr w:val="single" w:color="auto" w:sz="4" w:space="0"/>
        </w:rPr>
      </w:pPr>
    </w:p>
    <w:p>
      <w:pPr>
        <w:pStyle w:val="0"/>
        <w:rPr>
          <w:rFonts w:hint="default" w:ascii="HG丸ｺﾞｼｯｸM-PRO" w:hAnsi="HG丸ｺﾞｼｯｸM-PRO" w:eastAsia="HG丸ｺﾞｼｯｸM-PRO"/>
          <w:bdr w:val="single" w:color="auto" w:sz="4" w:space="0"/>
        </w:rPr>
      </w:pPr>
      <w:r>
        <w:rPr>
          <w:rFonts w:hint="eastAsia" w:ascii="HG丸ｺﾞｼｯｸM-PRO" w:hAnsi="HG丸ｺﾞｼｯｸM-PRO" w:eastAsia="HG丸ｺﾞｼｯｸM-PRO"/>
          <w:bdr w:val="single" w:color="auto" w:sz="4" w:space="0"/>
        </w:rPr>
        <w:t>設定した搬入量</w:t>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巻末図表９　月別搬入量（可燃物）</w:t>
            </w:r>
          </w:p>
        </w:tc>
      </w:tr>
    </w:tbl>
    <w:p>
      <w:pPr>
        <w:pStyle w:val="0"/>
        <w:rPr>
          <w:rFonts w:hint="default" w:ascii="HG丸ｺﾞｼｯｸM-PRO" w:hAnsi="HG丸ｺﾞｼｯｸM-PRO" w:eastAsia="HG丸ｺﾞｼｯｸM-PRO"/>
        </w:rPr>
      </w:pPr>
    </w:p>
    <w:p>
      <w:pPr>
        <w:pStyle w:val="0"/>
        <w:jc w:val="center"/>
        <w:rPr>
          <w:rFonts w:hint="default" w:ascii="ＭＳ 明朝" w:hAnsi="ＭＳ 明朝"/>
        </w:rPr>
      </w:pP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2239645</wp:posOffset>
                </wp:positionH>
                <wp:positionV relativeFrom="paragraph">
                  <wp:posOffset>269875</wp:posOffset>
                </wp:positionV>
                <wp:extent cx="578485" cy="189865"/>
                <wp:effectExtent l="0" t="0" r="635" b="635"/>
                <wp:wrapNone/>
                <wp:docPr id="1041" name="正方形/長方形 37"/>
                <a:graphic xmlns:a="http://schemas.openxmlformats.org/drawingml/2006/main">
                  <a:graphicData uri="http://schemas.microsoft.com/office/word/2010/wordprocessingShape">
                    <wps:wsp>
                      <wps:cNvPr id="1041" name="正方形/長方形 37"/>
                      <wps:cNvSpPr>
                        <a:spLocks noChangeArrowheads="1"/>
                      </wps:cNvSpPr>
                      <wps:spPr>
                        <a:xfrm>
                          <a:off x="0" y="0"/>
                          <a:ext cx="578485" cy="189865"/>
                        </a:xfrm>
                        <a:prstGeom prst="rect">
                          <a:avLst/>
                        </a:prstGeom>
                        <a:noFill/>
                        <a:ln>
                          <a:noFill/>
                        </a:ln>
                        <a:effectLst/>
                      </wps:spPr>
                      <wps:txbx>
                        <w:txbxContent>
                          <w:p>
                            <w:pPr>
                              <w:pStyle w:val="0"/>
                              <w:rPr>
                                <w:rFonts w:hint="default" w:ascii="HG丸ｺﾞｼｯｸM-PRO" w:hAnsi="HG丸ｺﾞｼｯｸM-PRO" w:eastAsia="HG丸ｺﾞｼｯｸM-PRO"/>
                                <w:sz w:val="12"/>
                              </w:rPr>
                            </w:pPr>
                            <w:r>
                              <w:rPr>
                                <w:rFonts w:hint="eastAsia" w:ascii="HG丸ｺﾞｼｯｸM-PRO" w:hAnsi="HG丸ｺﾞｼｯｸM-PRO" w:eastAsia="HG丸ｺﾞｼｯｸM-PRO"/>
                                <w:sz w:val="12"/>
                              </w:rPr>
                              <w:t>解体がれき</w:t>
                            </w:r>
                          </w:p>
                        </w:txbxContent>
                      </wps:txbx>
                      <wps:bodyPr rot="0" vertOverflow="overflow" horzOverflow="overflow" wrap="square" lIns="74295" tIns="8890" rIns="74295" bIns="8890" anchor="t" anchorCtr="0" upright="1"/>
                    </wps:wsp>
                  </a:graphicData>
                </a:graphic>
              </wp:anchor>
            </w:drawing>
          </mc:Choice>
          <mc:Fallback>
            <w:pict>
              <v:rect id="正方形/長方形 37" style="mso-wrap-distance-right:9pt;mso-wrap-distance-bottom:0pt;margin-top:21.25pt;mso-position-vertical-relative:text;mso-position-horizontal-relative:text;v-text-anchor:top;position:absolute;height:14.95pt;mso-wrap-distance-top:0pt;width:45.55pt;mso-wrap-distance-left:9pt;margin-left:176.35pt;z-index:-88;" o:spid="_x0000_s1041" o:allowincell="t" o:allowoverlap="t" filled="f" stroked="f" o:spt="1">
                <v:fill/>
                <v:textbox style="layout-flow:horizontal;" inset="2.0637499999999998mm,0.24694444444444438mm,2.0637499999999998mm,0.24694444444444438mm">
                  <w:txbxContent>
                    <w:p>
                      <w:pPr>
                        <w:pStyle w:val="0"/>
                        <w:rPr>
                          <w:rFonts w:hint="default" w:ascii="HG丸ｺﾞｼｯｸM-PRO" w:hAnsi="HG丸ｺﾞｼｯｸM-PRO" w:eastAsia="HG丸ｺﾞｼｯｸM-PRO"/>
                          <w:sz w:val="12"/>
                        </w:rPr>
                      </w:pPr>
                      <w:r>
                        <w:rPr>
                          <w:rFonts w:hint="eastAsia" w:ascii="HG丸ｺﾞｼｯｸM-PRO" w:hAnsi="HG丸ｺﾞｼｯｸM-PRO" w:eastAsia="HG丸ｺﾞｼｯｸM-PRO"/>
                          <w:sz w:val="12"/>
                        </w:rPr>
                        <w:t>解体がれき</w:t>
                      </w:r>
                    </w:p>
                  </w:txbxContent>
                </v:textbox>
                <v:imagedata o:title=""/>
                <w10:wrap type="none" anchorx="text" anchory="text"/>
              </v:rect>
            </w:pict>
          </mc:Fallback>
        </mc:AlternateContent>
      </w: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358775</wp:posOffset>
                </wp:positionH>
                <wp:positionV relativeFrom="paragraph">
                  <wp:posOffset>269875</wp:posOffset>
                </wp:positionV>
                <wp:extent cx="578485" cy="189230"/>
                <wp:effectExtent l="0" t="0" r="635" b="635"/>
                <wp:wrapNone/>
                <wp:docPr id="1042" name="正方形/長方形 36"/>
                <a:graphic xmlns:a="http://schemas.openxmlformats.org/drawingml/2006/main">
                  <a:graphicData uri="http://schemas.microsoft.com/office/word/2010/wordprocessingShape">
                    <wps:wsp>
                      <wps:cNvPr id="1042" name="正方形/長方形 36"/>
                      <wps:cNvSpPr>
                        <a:spLocks noChangeArrowheads="1"/>
                      </wps:cNvSpPr>
                      <wps:spPr>
                        <a:xfrm>
                          <a:off x="0" y="0"/>
                          <a:ext cx="578485" cy="189230"/>
                        </a:xfrm>
                        <a:prstGeom prst="rect">
                          <a:avLst/>
                        </a:prstGeom>
                        <a:noFill/>
                        <a:ln>
                          <a:noFill/>
                        </a:ln>
                        <a:effectLst/>
                      </wps:spPr>
                      <wps:txbx>
                        <w:txbxContent>
                          <w:p>
                            <w:pPr>
                              <w:pStyle w:val="0"/>
                              <w:rPr>
                                <w:rFonts w:hint="default" w:ascii="HG丸ｺﾞｼｯｸM-PRO" w:hAnsi="HG丸ｺﾞｼｯｸM-PRO" w:eastAsia="HG丸ｺﾞｼｯｸM-PRO"/>
                                <w:sz w:val="12"/>
                              </w:rPr>
                            </w:pPr>
                            <w:r>
                              <w:rPr>
                                <w:rFonts w:hint="eastAsia" w:ascii="HG丸ｺﾞｼｯｸM-PRO" w:hAnsi="HG丸ｺﾞｼｯｸM-PRO" w:eastAsia="HG丸ｺﾞｼｯｸM-PRO"/>
                                <w:sz w:val="12"/>
                              </w:rPr>
                              <w:t>片付けごみ</w:t>
                            </w:r>
                          </w:p>
                        </w:txbxContent>
                      </wps:txbx>
                      <wps:bodyPr rot="0" vertOverflow="overflow" horzOverflow="overflow" wrap="square" lIns="74295" tIns="8890" rIns="74295" bIns="8890" anchor="t" anchorCtr="0" upright="1"/>
                    </wps:wsp>
                  </a:graphicData>
                </a:graphic>
              </wp:anchor>
            </w:drawing>
          </mc:Choice>
          <mc:Fallback>
            <w:pict>
              <v:rect id="正方形/長方形 36" style="mso-wrap-distance-right:9pt;mso-wrap-distance-bottom:0pt;margin-top:21.25pt;mso-position-vertical-relative:text;mso-position-horizontal-relative:text;v-text-anchor:top;position:absolute;height:14.9pt;mso-wrap-distance-top:0pt;width:45.55pt;mso-wrap-distance-left:9pt;margin-left:28.25pt;z-index:-88;" o:spid="_x0000_s1042" o:allowincell="t" o:allowoverlap="t" filled="f" stroked="f" o:spt="1">
                <v:fill/>
                <v:textbox style="layout-flow:horizontal;" inset="2.0637499999999998mm,0.24694444444444438mm,2.0637499999999998mm,0.24694444444444438mm">
                  <w:txbxContent>
                    <w:p>
                      <w:pPr>
                        <w:pStyle w:val="0"/>
                        <w:rPr>
                          <w:rFonts w:hint="default" w:ascii="HG丸ｺﾞｼｯｸM-PRO" w:hAnsi="HG丸ｺﾞｼｯｸM-PRO" w:eastAsia="HG丸ｺﾞｼｯｸM-PRO"/>
                          <w:sz w:val="12"/>
                        </w:rPr>
                      </w:pPr>
                      <w:r>
                        <w:rPr>
                          <w:rFonts w:hint="eastAsia" w:ascii="HG丸ｺﾞｼｯｸM-PRO" w:hAnsi="HG丸ｺﾞｼｯｸM-PRO" w:eastAsia="HG丸ｺﾞｼｯｸM-PRO"/>
                          <w:sz w:val="12"/>
                        </w:rPr>
                        <w:t>片付けごみ</w:t>
                      </w:r>
                    </w:p>
                  </w:txbxContent>
                </v:textbox>
                <v:imagedata o:title=""/>
                <w10:wrap type="none" anchorx="text" anchory="text"/>
              </v:rect>
            </w:pict>
          </mc:Fallback>
        </mc:AlternateContent>
      </w: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945515</wp:posOffset>
                </wp:positionH>
                <wp:positionV relativeFrom="paragraph">
                  <wp:posOffset>445135</wp:posOffset>
                </wp:positionV>
                <wp:extent cx="3126740" cy="0"/>
                <wp:effectExtent l="635" t="36195" r="29210" b="46355"/>
                <wp:wrapNone/>
                <wp:docPr id="1043" name="直線矢印コネクタ 34"/>
                <a:graphic xmlns:a="http://schemas.openxmlformats.org/drawingml/2006/main">
                  <a:graphicData uri="http://schemas.microsoft.com/office/word/2010/wordprocessingShape">
                    <wps:wsp>
                      <wps:cNvPr id="1043" name="直線矢印コネクタ 34"/>
                      <wps:cNvCnPr/>
                      <wps:spPr>
                        <a:xfrm>
                          <a:off x="0" y="0"/>
                          <a:ext cx="3126740" cy="0"/>
                        </a:xfrm>
                        <a:prstGeom prst="straightConnector1">
                          <a:avLst/>
                        </a:prstGeom>
                        <a:noFill/>
                        <a:ln w="19050">
                          <a:solidFill>
                            <a:srgbClr val="000000"/>
                          </a:solidFill>
                          <a:round/>
                          <a:headEnd type="triangle" w="med" len="med"/>
                          <a:tailEnd type="triangle" w="med" len="me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4" style="mso-wrap-distance-right:9pt;mso-wrap-distance-bottom:0pt;margin-top:35.04pt;mso-position-vertical-relative:text;mso-position-horizontal-relative:text;position:absolute;height:0pt;mso-wrap-distance-top:0pt;width:246.2pt;mso-wrap-distance-left:9pt;margin-left:74.45pt;z-index:-88;" o:spid="_x0000_s1043" o:allowincell="t" o:allowoverlap="t" filled="f" stroked="t" strokecolor="#000000" strokeweight="1.5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4079875</wp:posOffset>
                </wp:positionH>
                <wp:positionV relativeFrom="paragraph">
                  <wp:posOffset>324485</wp:posOffset>
                </wp:positionV>
                <wp:extent cx="6350" cy="1560830"/>
                <wp:effectExtent l="635" t="635" r="29845" b="10795"/>
                <wp:wrapNone/>
                <wp:docPr id="1044" name="直線矢印コネクタ 32"/>
                <a:graphic xmlns:a="http://schemas.openxmlformats.org/drawingml/2006/main">
                  <a:graphicData uri="http://schemas.microsoft.com/office/word/2010/wordprocessingShape">
                    <wps:wsp>
                      <wps:cNvPr id="1044" name="直線矢印コネクタ 32"/>
                      <wps:cNvCnPr/>
                      <wps:spPr>
                        <a:xfrm flipH="1" flipV="1">
                          <a:off x="0" y="0"/>
                          <a:ext cx="6350" cy="1560830"/>
                        </a:xfrm>
                        <a:prstGeom prst="straightConnector1">
                          <a:avLst/>
                        </a:prstGeom>
                        <a:noFill/>
                        <a:ln w="19050">
                          <a:solidFill>
                            <a:srgbClr val="000000"/>
                          </a:solidFill>
                          <a:prstDash val="sysDot"/>
                          <a:round/>
                          <a:headEnd/>
                          <a:tailEn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2" style="flip:x y;mso-wrap-distance-right:9pt;mso-wrap-distance-bottom:0pt;margin-top:25.55pt;mso-position-vertical-relative:text;mso-position-horizontal-relative:text;position:absolute;height:122.9pt;mso-wrap-distance-top:0pt;width:0.5pt;mso-wrap-distance-left:9pt;margin-left:321.25pt;z-index:-88;" o:spid="_x0000_s1044" o:allowincell="t" o:allowoverlap="t" filled="f" stroked="t" strokecolor="#000000" strokeweight="1.5pt" o:spt="32" type="#_x0000_t32">
                <v:fill/>
                <v:stroke dashstyle="shortdot" filltype="solid"/>
                <v:imagedata o:title=""/>
                <w10:wrap type="none" anchorx="text" anchory="text"/>
              </v:shape>
            </w:pict>
          </mc:Fallback>
        </mc:AlternateContent>
      </w: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940435</wp:posOffset>
                </wp:positionH>
                <wp:positionV relativeFrom="paragraph">
                  <wp:posOffset>321310</wp:posOffset>
                </wp:positionV>
                <wp:extent cx="6350" cy="1564640"/>
                <wp:effectExtent l="635" t="635" r="29845" b="10795"/>
                <wp:wrapNone/>
                <wp:docPr id="1045" name="直線矢印コネクタ 33"/>
                <a:graphic xmlns:a="http://schemas.openxmlformats.org/drawingml/2006/main">
                  <a:graphicData uri="http://schemas.microsoft.com/office/word/2010/wordprocessingShape">
                    <wps:wsp>
                      <wps:cNvPr id="1045" name="直線矢印コネクタ 33"/>
                      <wps:cNvCnPr/>
                      <wps:spPr>
                        <a:xfrm flipH="1" flipV="1">
                          <a:off x="0" y="0"/>
                          <a:ext cx="6350" cy="1564640"/>
                        </a:xfrm>
                        <a:prstGeom prst="straightConnector1">
                          <a:avLst/>
                        </a:prstGeom>
                        <a:noFill/>
                        <a:ln w="19050">
                          <a:solidFill>
                            <a:srgbClr val="000000"/>
                          </a:solidFill>
                          <a:prstDash val="sysDot"/>
                          <a:round/>
                          <a:headEnd/>
                          <a:tailEn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3" style="flip:x y;mso-wrap-distance-right:9pt;mso-wrap-distance-bottom:0pt;margin-top:25.3pt;mso-position-vertical-relative:text;mso-position-horizontal-relative:text;position:absolute;height:123.2pt;mso-wrap-distance-top:0pt;width:0.5pt;mso-wrap-distance-left:9pt;margin-left:74.05pt;z-index:-88;" o:spid="_x0000_s1045" o:allowincell="t" o:allowoverlap="t" filled="f" stroked="t" strokecolor="#000000" strokeweight="1.5pt" o:spt="32" type="#_x0000_t32">
                <v:fill/>
                <v:stroke dashstyle="shortdot" filltype="solid"/>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4294967208" behindDoc="0" locked="0" layoutInCell="1" hidden="0" allowOverlap="1">
                <wp:simplePos x="0" y="0"/>
                <wp:positionH relativeFrom="column">
                  <wp:posOffset>332740</wp:posOffset>
                </wp:positionH>
                <wp:positionV relativeFrom="paragraph">
                  <wp:posOffset>445135</wp:posOffset>
                </wp:positionV>
                <wp:extent cx="593725" cy="0"/>
                <wp:effectExtent l="635" t="36195" r="29210" b="46355"/>
                <wp:wrapNone/>
                <wp:docPr id="1046" name="直線矢印コネクタ 35"/>
                <a:graphic xmlns:a="http://schemas.openxmlformats.org/drawingml/2006/main">
                  <a:graphicData uri="http://schemas.microsoft.com/office/word/2010/wordprocessingShape">
                    <wps:wsp>
                      <wps:cNvPr id="1046" name="直線矢印コネクタ 35"/>
                      <wps:cNvCnPr/>
                      <wps:spPr>
                        <a:xfrm>
                          <a:off x="0" y="0"/>
                          <a:ext cx="593725" cy="0"/>
                        </a:xfrm>
                        <a:prstGeom prst="straightConnector1">
                          <a:avLst/>
                        </a:prstGeom>
                        <a:noFill/>
                        <a:ln w="19050">
                          <a:solidFill>
                            <a:srgbClr val="000000"/>
                          </a:solidFill>
                          <a:round/>
                          <a:headEnd type="triangle" w="med" len="med"/>
                          <a:tailEnd type="triangle" w="med" len="me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5" style="mso-wrap-distance-right:9pt;mso-wrap-distance-bottom:0pt;margin-top:35.04pt;mso-position-vertical-relative:text;mso-position-horizontal-relative:text;position:absolute;height:0pt;mso-wrap-distance-top:0pt;width:46.75pt;mso-wrap-distance-left:9pt;margin-left:26.2pt;z-index:-88;" o:spid="_x0000_s1046" o:allowincell="t" o:allowoverlap="t" filled="f" stroked="t" strokecolor="#000000" strokeweight="1.5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default" w:ascii="ＭＳ 明朝" w:hAnsi="ＭＳ 明朝"/>
        </w:rPr>
        <w:drawing>
          <wp:inline distT="0" distB="0" distL="0" distR="0">
            <wp:extent cx="6113145" cy="2134235"/>
            <wp:effectExtent l="0" t="0" r="0" b="0"/>
            <wp:docPr id="1047" name="Picture 7"/>
            <a:graphic xmlns:a="http://schemas.openxmlformats.org/drawingml/2006/main">
              <a:graphicData uri="http://schemas.openxmlformats.org/drawingml/2006/picture">
                <pic:pic xmlns:pic="http://schemas.openxmlformats.org/drawingml/2006/picture">
                  <pic:nvPicPr>
                    <pic:cNvPr id="1047" name="Picture 7"/>
                    <pic:cNvPicPr>
                      <a:picLocks noChangeAspect="1" noChangeArrowheads="1"/>
                    </pic:cNvPicPr>
                  </pic:nvPicPr>
                  <pic:blipFill>
                    <a:blip r:embed="rId33"/>
                    <a:stretch>
                      <a:fillRect/>
                    </a:stretch>
                  </pic:blipFill>
                  <pic:spPr>
                    <a:xfrm>
                      <a:off x="0" y="0"/>
                      <a:ext cx="6113145" cy="2134235"/>
                    </a:xfrm>
                    <a:prstGeom prst="rect">
                      <a:avLst/>
                    </a:prstGeom>
                    <a:noFill/>
                    <a:ln>
                      <a:noFill/>
                    </a:ln>
                  </pic:spPr>
                </pic:pic>
              </a:graphicData>
            </a:graphic>
          </wp:inline>
        </w:drawing>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０　月別搬入量（不燃物）</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4052570</wp:posOffset>
                </wp:positionH>
                <wp:positionV relativeFrom="paragraph">
                  <wp:posOffset>321945</wp:posOffset>
                </wp:positionV>
                <wp:extent cx="6350" cy="1560830"/>
                <wp:effectExtent l="635" t="635" r="29845" b="10795"/>
                <wp:wrapNone/>
                <wp:docPr id="1048" name="直線矢印コネクタ 32"/>
                <a:graphic xmlns:a="http://schemas.openxmlformats.org/drawingml/2006/main">
                  <a:graphicData uri="http://schemas.microsoft.com/office/word/2010/wordprocessingShape">
                    <wps:wsp>
                      <wps:cNvPr id="1048" name="直線矢印コネクタ 32"/>
                      <wps:cNvCnPr/>
                      <wps:spPr>
                        <a:xfrm flipH="1" flipV="1">
                          <a:off x="0" y="0"/>
                          <a:ext cx="6350" cy="1560830"/>
                        </a:xfrm>
                        <a:prstGeom prst="straightConnector1">
                          <a:avLst/>
                        </a:prstGeom>
                        <a:noFill/>
                        <a:ln w="19050">
                          <a:solidFill>
                            <a:srgbClr val="000000"/>
                          </a:solidFill>
                          <a:prstDash val="sysDot"/>
                          <a:round/>
                          <a:headEnd/>
                          <a:tailEn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2" style="flip:x y;mso-wrap-distance-right:9pt;mso-wrap-distance-bottom:0pt;margin-top:25.35pt;mso-position-vertical-relative:text;mso-position-horizontal-relative:text;position:absolute;height:122.9pt;mso-wrap-distance-top:0pt;width:0.5pt;mso-wrap-distance-left:9pt;margin-left:319.10000000000002pt;z-index:-88;" o:spid="_x0000_s1048" o:allowincell="t" o:allowoverlap="t" filled="f" stroked="t" strokecolor="#000000" strokeweight="1.5pt" o:spt="32" type="#_x0000_t32">
                <v:fill/>
                <v:stroke dashstyle="shortdot" filltype="solid"/>
                <v:imagedata o:title=""/>
                <w10:wrap type="none" anchorx="text" anchory="text"/>
              </v:shape>
            </w:pict>
          </mc:Fallback>
        </mc:AlternateContent>
      </w: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2238375</wp:posOffset>
                </wp:positionH>
                <wp:positionV relativeFrom="paragraph">
                  <wp:posOffset>271145</wp:posOffset>
                </wp:positionV>
                <wp:extent cx="578485" cy="189865"/>
                <wp:effectExtent l="0" t="0" r="635" b="635"/>
                <wp:wrapNone/>
                <wp:docPr id="1049" name="正方形/長方形 37"/>
                <a:graphic xmlns:a="http://schemas.openxmlformats.org/drawingml/2006/main">
                  <a:graphicData uri="http://schemas.microsoft.com/office/word/2010/wordprocessingShape">
                    <wps:wsp>
                      <wps:cNvPr id="1049" name="正方形/長方形 37"/>
                      <wps:cNvSpPr>
                        <a:spLocks noChangeArrowheads="1"/>
                      </wps:cNvSpPr>
                      <wps:spPr>
                        <a:xfrm>
                          <a:off x="0" y="0"/>
                          <a:ext cx="578485" cy="189865"/>
                        </a:xfrm>
                        <a:prstGeom prst="rect">
                          <a:avLst/>
                        </a:prstGeom>
                        <a:noFill/>
                        <a:ln>
                          <a:noFill/>
                        </a:ln>
                        <a:effectLst/>
                      </wps:spPr>
                      <wps:txbx>
                        <w:txbxContent>
                          <w:p>
                            <w:pPr>
                              <w:pStyle w:val="0"/>
                              <w:rPr>
                                <w:rFonts w:hint="default" w:ascii="HG丸ｺﾞｼｯｸM-PRO" w:hAnsi="HG丸ｺﾞｼｯｸM-PRO" w:eastAsia="HG丸ｺﾞｼｯｸM-PRO"/>
                                <w:sz w:val="12"/>
                              </w:rPr>
                            </w:pPr>
                            <w:r>
                              <w:rPr>
                                <w:rFonts w:hint="eastAsia" w:ascii="HG丸ｺﾞｼｯｸM-PRO" w:hAnsi="HG丸ｺﾞｼｯｸM-PRO" w:eastAsia="HG丸ｺﾞｼｯｸM-PRO"/>
                                <w:sz w:val="12"/>
                              </w:rPr>
                              <w:t>解体がれき</w:t>
                            </w:r>
                          </w:p>
                        </w:txbxContent>
                      </wps:txbx>
                      <wps:bodyPr rot="0" vertOverflow="overflow" horzOverflow="overflow" wrap="square" lIns="74295" tIns="8890" rIns="74295" bIns="8890" anchor="t" anchorCtr="0" upright="1"/>
                    </wps:wsp>
                  </a:graphicData>
                </a:graphic>
              </wp:anchor>
            </w:drawing>
          </mc:Choice>
          <mc:Fallback>
            <w:pict>
              <v:rect id="正方形/長方形 37" style="mso-wrap-distance-right:9pt;mso-wrap-distance-bottom:0pt;margin-top:21.35pt;mso-position-vertical-relative:text;mso-position-horizontal-relative:text;v-text-anchor:top;position:absolute;height:14.95pt;mso-wrap-distance-top:0pt;width:45.55pt;mso-wrap-distance-left:9pt;margin-left:176.25pt;z-index:-88;" o:spid="_x0000_s1049" o:allowincell="t" o:allowoverlap="t" filled="f" stroked="f" o:spt="1">
                <v:fill/>
                <v:textbox style="layout-flow:horizontal;" inset="2.0637499999999998mm,0.24694444444444438mm,2.0637499999999998mm,0.24694444444444438mm">
                  <w:txbxContent>
                    <w:p>
                      <w:pPr>
                        <w:pStyle w:val="0"/>
                        <w:rPr>
                          <w:rFonts w:hint="default" w:ascii="HG丸ｺﾞｼｯｸM-PRO" w:hAnsi="HG丸ｺﾞｼｯｸM-PRO" w:eastAsia="HG丸ｺﾞｼｯｸM-PRO"/>
                          <w:sz w:val="12"/>
                        </w:rPr>
                      </w:pPr>
                      <w:r>
                        <w:rPr>
                          <w:rFonts w:hint="eastAsia" w:ascii="HG丸ｺﾞｼｯｸM-PRO" w:hAnsi="HG丸ｺﾞｼｯｸM-PRO" w:eastAsia="HG丸ｺﾞｼｯｸM-PRO"/>
                          <w:sz w:val="12"/>
                        </w:rPr>
                        <w:t>解体がれき</w:t>
                      </w:r>
                    </w:p>
                  </w:txbxContent>
                </v:textbox>
                <v:imagedata o:title=""/>
                <w10:wrap type="none" anchorx="text" anchory="text"/>
              </v:rect>
            </w:pict>
          </mc:Fallback>
        </mc:AlternateContent>
      </w: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360045</wp:posOffset>
                </wp:positionH>
                <wp:positionV relativeFrom="paragraph">
                  <wp:posOffset>269875</wp:posOffset>
                </wp:positionV>
                <wp:extent cx="578485" cy="189230"/>
                <wp:effectExtent l="0" t="0" r="635" b="635"/>
                <wp:wrapNone/>
                <wp:docPr id="1050" name="正方形/長方形 36"/>
                <a:graphic xmlns:a="http://schemas.openxmlformats.org/drawingml/2006/main">
                  <a:graphicData uri="http://schemas.microsoft.com/office/word/2010/wordprocessingShape">
                    <wps:wsp>
                      <wps:cNvPr id="1050" name="正方形/長方形 36"/>
                      <wps:cNvSpPr>
                        <a:spLocks noChangeArrowheads="1"/>
                      </wps:cNvSpPr>
                      <wps:spPr>
                        <a:xfrm>
                          <a:off x="0" y="0"/>
                          <a:ext cx="578485" cy="189230"/>
                        </a:xfrm>
                        <a:prstGeom prst="rect">
                          <a:avLst/>
                        </a:prstGeom>
                        <a:noFill/>
                        <a:ln>
                          <a:noFill/>
                        </a:ln>
                        <a:effectLst/>
                      </wps:spPr>
                      <wps:txbx>
                        <w:txbxContent>
                          <w:p>
                            <w:pPr>
                              <w:pStyle w:val="0"/>
                              <w:rPr>
                                <w:rFonts w:hint="default" w:ascii="HG丸ｺﾞｼｯｸM-PRO" w:hAnsi="HG丸ｺﾞｼｯｸM-PRO" w:eastAsia="HG丸ｺﾞｼｯｸM-PRO"/>
                                <w:sz w:val="12"/>
                              </w:rPr>
                            </w:pPr>
                            <w:r>
                              <w:rPr>
                                <w:rFonts w:hint="eastAsia" w:ascii="HG丸ｺﾞｼｯｸM-PRO" w:hAnsi="HG丸ｺﾞｼｯｸM-PRO" w:eastAsia="HG丸ｺﾞｼｯｸM-PRO"/>
                                <w:sz w:val="12"/>
                              </w:rPr>
                              <w:t>片付けごみ</w:t>
                            </w:r>
                          </w:p>
                        </w:txbxContent>
                      </wps:txbx>
                      <wps:bodyPr rot="0" vertOverflow="overflow" horzOverflow="overflow" wrap="square" lIns="74295" tIns="8890" rIns="74295" bIns="8890" anchor="t" anchorCtr="0" upright="1"/>
                    </wps:wsp>
                  </a:graphicData>
                </a:graphic>
              </wp:anchor>
            </w:drawing>
          </mc:Choice>
          <mc:Fallback>
            <w:pict>
              <v:rect id="正方形/長方形 36" style="mso-wrap-distance-right:9pt;mso-wrap-distance-bottom:0pt;margin-top:21.25pt;mso-position-vertical-relative:text;mso-position-horizontal-relative:text;v-text-anchor:top;position:absolute;height:14.9pt;mso-wrap-distance-top:0pt;width:45.55pt;mso-wrap-distance-left:9pt;margin-left:28.35pt;z-index:-88;" o:spid="_x0000_s1050" o:allowincell="t" o:allowoverlap="t" filled="f" stroked="f" o:spt="1">
                <v:fill/>
                <v:textbox style="layout-flow:horizontal;" inset="2.0637499999999998mm,0.24694444444444438mm,2.0637499999999998mm,0.24694444444444438mm">
                  <w:txbxContent>
                    <w:p>
                      <w:pPr>
                        <w:pStyle w:val="0"/>
                        <w:rPr>
                          <w:rFonts w:hint="default" w:ascii="HG丸ｺﾞｼｯｸM-PRO" w:hAnsi="HG丸ｺﾞｼｯｸM-PRO" w:eastAsia="HG丸ｺﾞｼｯｸM-PRO"/>
                          <w:sz w:val="12"/>
                        </w:rPr>
                      </w:pPr>
                      <w:r>
                        <w:rPr>
                          <w:rFonts w:hint="eastAsia" w:ascii="HG丸ｺﾞｼｯｸM-PRO" w:hAnsi="HG丸ｺﾞｼｯｸM-PRO" w:eastAsia="HG丸ｺﾞｼｯｸM-PRO"/>
                          <w:sz w:val="12"/>
                        </w:rPr>
                        <w:t>片付けごみ</w:t>
                      </w:r>
                    </w:p>
                  </w:txbxContent>
                </v:textbox>
                <v:imagedata o:title=""/>
                <w10:wrap type="none" anchorx="text" anchory="text"/>
              </v:rect>
            </w:pict>
          </mc:Fallback>
        </mc:AlternateContent>
      </w: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920115</wp:posOffset>
                </wp:positionH>
                <wp:positionV relativeFrom="paragraph">
                  <wp:posOffset>464820</wp:posOffset>
                </wp:positionV>
                <wp:extent cx="3126740" cy="0"/>
                <wp:effectExtent l="635" t="36195" r="29210" b="46355"/>
                <wp:wrapNone/>
                <wp:docPr id="1051" name="直線矢印コネクタ 34"/>
                <a:graphic xmlns:a="http://schemas.openxmlformats.org/drawingml/2006/main">
                  <a:graphicData uri="http://schemas.microsoft.com/office/word/2010/wordprocessingShape">
                    <wps:wsp>
                      <wps:cNvPr id="1051" name="直線矢印コネクタ 34"/>
                      <wps:cNvCnPr/>
                      <wps:spPr>
                        <a:xfrm>
                          <a:off x="0" y="0"/>
                          <a:ext cx="3126740" cy="0"/>
                        </a:xfrm>
                        <a:prstGeom prst="straightConnector1">
                          <a:avLst/>
                        </a:prstGeom>
                        <a:noFill/>
                        <a:ln w="19050">
                          <a:solidFill>
                            <a:srgbClr val="000000"/>
                          </a:solidFill>
                          <a:round/>
                          <a:headEnd type="triangle" w="med" len="med"/>
                          <a:tailEnd type="triangle" w="med" len="me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4" style="mso-wrap-distance-right:9pt;mso-wrap-distance-bottom:0pt;margin-top:36.6pt;mso-position-vertical-relative:text;mso-position-horizontal-relative:text;position:absolute;height:0pt;mso-wrap-distance-top:0pt;width:246.2pt;mso-wrap-distance-left:9pt;margin-left:72.45pt;z-index:-88;" o:spid="_x0000_s1051" o:allowincell="t" o:allowoverlap="t" filled="f" stroked="t" strokecolor="#000000" strokeweight="1.5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4294967208" behindDoc="0" locked="0" layoutInCell="1" hidden="0" allowOverlap="1">
                <wp:simplePos x="0" y="0"/>
                <wp:positionH relativeFrom="column">
                  <wp:posOffset>316230</wp:posOffset>
                </wp:positionH>
                <wp:positionV relativeFrom="paragraph">
                  <wp:posOffset>471805</wp:posOffset>
                </wp:positionV>
                <wp:extent cx="593725" cy="0"/>
                <wp:effectExtent l="635" t="36195" r="29210" b="46355"/>
                <wp:wrapNone/>
                <wp:docPr id="1052" name="直線矢印コネクタ 35"/>
                <a:graphic xmlns:a="http://schemas.openxmlformats.org/drawingml/2006/main">
                  <a:graphicData uri="http://schemas.microsoft.com/office/word/2010/wordprocessingShape">
                    <wps:wsp>
                      <wps:cNvPr id="1052" name="直線矢印コネクタ 35"/>
                      <wps:cNvCnPr/>
                      <wps:spPr>
                        <a:xfrm>
                          <a:off x="0" y="0"/>
                          <a:ext cx="593725" cy="0"/>
                        </a:xfrm>
                        <a:prstGeom prst="straightConnector1">
                          <a:avLst/>
                        </a:prstGeom>
                        <a:noFill/>
                        <a:ln w="19050">
                          <a:solidFill>
                            <a:srgbClr val="000000"/>
                          </a:solidFill>
                          <a:round/>
                          <a:headEnd type="triangle" w="med" len="med"/>
                          <a:tailEnd type="triangle" w="med" len="me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5" style="mso-wrap-distance-right:9pt;mso-wrap-distance-bottom:0pt;margin-top:37.15pt;mso-position-vertical-relative:text;mso-position-horizontal-relative:text;position:absolute;height:0pt;mso-wrap-distance-top:0pt;width:46.75pt;mso-wrap-distance-left:9pt;margin-left:24.9pt;z-index:-88;" o:spid="_x0000_s1052" o:allowincell="t" o:allowoverlap="t" filled="f" stroked="t" strokecolor="#000000" strokeweight="1.5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eastAsia" w:ascii="ＭＳ ゴシック" w:hAnsi="ＭＳ ゴシック" w:eastAsia="ＭＳ ゴシック"/>
        </w:rPr>
        <mc:AlternateContent>
          <mc:Choice Requires="wps">
            <w:drawing>
              <wp:anchor distT="0" distB="0" distL="114300" distR="114300" simplePos="0" relativeHeight="4294967208" behindDoc="0" locked="0" layoutInCell="1" hidden="0" allowOverlap="1">
                <wp:simplePos x="0" y="0"/>
                <wp:positionH relativeFrom="column">
                  <wp:posOffset>924560</wp:posOffset>
                </wp:positionH>
                <wp:positionV relativeFrom="paragraph">
                  <wp:posOffset>320040</wp:posOffset>
                </wp:positionV>
                <wp:extent cx="6350" cy="1564640"/>
                <wp:effectExtent l="635" t="635" r="29845" b="10795"/>
                <wp:wrapNone/>
                <wp:docPr id="1053" name="直線矢印コネクタ 33"/>
                <a:graphic xmlns:a="http://schemas.openxmlformats.org/drawingml/2006/main">
                  <a:graphicData uri="http://schemas.microsoft.com/office/word/2010/wordprocessingShape">
                    <wps:wsp>
                      <wps:cNvPr id="1053" name="直線矢印コネクタ 33"/>
                      <wps:cNvCnPr/>
                      <wps:spPr>
                        <a:xfrm flipH="1" flipV="1">
                          <a:off x="0" y="0"/>
                          <a:ext cx="6350" cy="1564640"/>
                        </a:xfrm>
                        <a:prstGeom prst="straightConnector1">
                          <a:avLst/>
                        </a:prstGeom>
                        <a:noFill/>
                        <a:ln w="19050">
                          <a:solidFill>
                            <a:srgbClr val="000000"/>
                          </a:solidFill>
                          <a:prstDash val="sysDot"/>
                          <a:round/>
                          <a:headEnd/>
                          <a:tailEn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3" style="flip:x y;mso-wrap-distance-right:9pt;mso-wrap-distance-bottom:0pt;margin-top:25.2pt;mso-position-vertical-relative:text;mso-position-horizontal-relative:text;position:absolute;height:123.2pt;mso-wrap-distance-top:0pt;width:0.5pt;mso-wrap-distance-left:9pt;margin-left:72.8pt;z-index:-88;" o:spid="_x0000_s1053" o:allowincell="t" o:allowoverlap="t" filled="f" stroked="t" strokecolor="#000000" strokeweight="1.5pt" o:spt="32" type="#_x0000_t32">
                <v:fill/>
                <v:stroke dashstyle="shortdot" filltype="solid"/>
                <v:imagedata o:title=""/>
                <w10:wrap type="none" anchorx="text" anchory="text"/>
              </v:shape>
            </w:pict>
          </mc:Fallback>
        </mc:AlternateContent>
      </w:r>
      <w:r>
        <w:rPr>
          <w:rFonts w:hint="default" w:ascii="HG丸ｺﾞｼｯｸM-PRO" w:hAnsi="HG丸ｺﾞｼｯｸM-PRO" w:eastAsia="HG丸ｺﾞｼｯｸM-PRO"/>
        </w:rPr>
        <w:drawing>
          <wp:inline distT="0" distB="0" distL="0" distR="0">
            <wp:extent cx="6079490" cy="2128520"/>
            <wp:effectExtent l="0" t="0" r="0" b="0"/>
            <wp:docPr id="1054" name="Picture 3"/>
            <a:graphic xmlns:a="http://schemas.openxmlformats.org/drawingml/2006/main">
              <a:graphicData uri="http://schemas.openxmlformats.org/drawingml/2006/picture">
                <pic:pic xmlns:pic="http://schemas.openxmlformats.org/drawingml/2006/picture">
                  <pic:nvPicPr>
                    <pic:cNvPr id="1054" name="Picture 3"/>
                    <pic:cNvPicPr>
                      <a:picLocks noChangeAspect="1" noChangeArrowheads="1"/>
                    </pic:cNvPicPr>
                  </pic:nvPicPr>
                  <pic:blipFill>
                    <a:blip r:embed="rId34"/>
                    <a:stretch>
                      <a:fillRect/>
                    </a:stretch>
                  </pic:blipFill>
                  <pic:spPr>
                    <a:xfrm>
                      <a:off x="0" y="0"/>
                      <a:ext cx="6079490" cy="2128520"/>
                    </a:xfrm>
                    <a:prstGeom prst="rect">
                      <a:avLst/>
                    </a:prstGeom>
                    <a:noFill/>
                    <a:ln>
                      <a:noFill/>
                    </a:ln>
                  </pic:spPr>
                </pic:pic>
              </a:graphicData>
            </a:graphic>
          </wp:inline>
        </w:drawing>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１　累積搬入量（可燃物）</w:t>
            </w:r>
          </w:p>
        </w:tc>
      </w:tr>
    </w:tbl>
    <w:p>
      <w:pPr>
        <w:pStyle w:val="0"/>
        <w:rPr>
          <w:rFonts w:hint="default" w:ascii="HG丸ｺﾞｼｯｸM-PRO" w:hAnsi="HG丸ｺﾞｼｯｸM-PRO" w:eastAsia="HG丸ｺﾞｼｯｸM-PRO"/>
        </w:rPr>
      </w:pPr>
    </w:p>
    <w:p>
      <w:pPr>
        <w:pStyle w:val="0"/>
        <w:widowControl w:val="1"/>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6113145" cy="2133600"/>
            <wp:effectExtent l="0" t="0" r="0" b="0"/>
            <wp:docPr id="1055" name="Picture 8"/>
            <a:graphic xmlns:a="http://schemas.openxmlformats.org/drawingml/2006/main">
              <a:graphicData uri="http://schemas.openxmlformats.org/drawingml/2006/picture">
                <pic:pic xmlns:pic="http://schemas.openxmlformats.org/drawingml/2006/picture">
                  <pic:nvPicPr>
                    <pic:cNvPr id="1055" name="Picture 8"/>
                    <pic:cNvPicPr>
                      <a:picLocks noChangeAspect="1" noChangeArrowheads="1"/>
                    </pic:cNvPicPr>
                  </pic:nvPicPr>
                  <pic:blipFill>
                    <a:blip r:embed="rId35"/>
                    <a:stretch>
                      <a:fillRect/>
                    </a:stretch>
                  </pic:blipFill>
                  <pic:spPr>
                    <a:xfrm>
                      <a:off x="0" y="0"/>
                      <a:ext cx="6113145" cy="2133600"/>
                    </a:xfrm>
                    <a:prstGeom prst="rect">
                      <a:avLst/>
                    </a:prstGeom>
                    <a:noFill/>
                    <a:ln>
                      <a:noFill/>
                    </a:ln>
                  </pic:spPr>
                </pic:pic>
              </a:graphicData>
            </a:graphic>
          </wp:inline>
        </w:drawing>
      </w:r>
    </w:p>
    <w:p>
      <w:pPr>
        <w:pStyle w:val="0"/>
        <w:rPr>
          <w:rFonts w:hint="default" w:ascii="ＭＳ ゴシック" w:hAnsi="ＭＳ ゴシック" w:eastAsia="ＭＳ ゴシック"/>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２　累積搬入量（不燃物）</w:t>
            </w:r>
          </w:p>
        </w:tc>
      </w:tr>
    </w:tbl>
    <w:p>
      <w:pPr>
        <w:pStyle w:val="0"/>
        <w:rPr>
          <w:rFonts w:hint="default" w:ascii="HG丸ｺﾞｼｯｸM-PRO" w:hAnsi="HG丸ｺﾞｼｯｸM-PRO" w:eastAsia="HG丸ｺﾞｼｯｸM-PRO"/>
        </w:rPr>
      </w:pPr>
    </w:p>
    <w:p>
      <w:pPr>
        <w:pStyle w:val="0"/>
        <w:rPr>
          <w:rFonts w:hint="default" w:ascii="ＭＳ ゴシック" w:hAnsi="ＭＳ ゴシック" w:eastAsia="ＭＳ ゴシック"/>
        </w:rPr>
      </w:pPr>
      <w:r>
        <w:rPr>
          <w:rFonts w:hint="default" w:ascii="ＭＳ ゴシック" w:hAnsi="ＭＳ ゴシック" w:eastAsia="ＭＳ ゴシック"/>
        </w:rPr>
        <w:drawing>
          <wp:inline distT="0" distB="0" distL="0" distR="0">
            <wp:extent cx="6113145" cy="2138045"/>
            <wp:effectExtent l="0" t="0" r="0" b="0"/>
            <wp:docPr id="1056" name="Picture 5"/>
            <a:graphic xmlns:a="http://schemas.openxmlformats.org/drawingml/2006/main">
              <a:graphicData uri="http://schemas.openxmlformats.org/drawingml/2006/picture">
                <pic:pic xmlns:pic="http://schemas.openxmlformats.org/drawingml/2006/picture">
                  <pic:nvPicPr>
                    <pic:cNvPr id="1056" name="Picture 5"/>
                    <pic:cNvPicPr>
                      <a:picLocks noChangeAspect="1" noChangeArrowheads="1"/>
                    </pic:cNvPicPr>
                  </pic:nvPicPr>
                  <pic:blipFill>
                    <a:blip r:embed="rId36"/>
                    <a:stretch>
                      <a:fillRect/>
                    </a:stretch>
                  </pic:blipFill>
                  <pic:spPr>
                    <a:xfrm>
                      <a:off x="0" y="0"/>
                      <a:ext cx="6113145" cy="2138045"/>
                    </a:xfrm>
                    <a:prstGeom prst="rect">
                      <a:avLst/>
                    </a:prstGeom>
                    <a:noFill/>
                    <a:ln>
                      <a:noFill/>
                    </a:ln>
                  </pic:spPr>
                </pic:pic>
              </a:graphicData>
            </a:graphic>
          </wp:inline>
        </w:drawing>
      </w:r>
    </w:p>
    <w:p>
      <w:pPr>
        <w:pStyle w:val="0"/>
        <w:widowControl w:val="1"/>
        <w:jc w:val="left"/>
        <w:rPr>
          <w:rFonts w:hint="default" w:ascii="ＭＳ ゴシック" w:hAnsi="ＭＳ ゴシック" w:eastAsia="ＭＳ ゴシック"/>
        </w:rPr>
      </w:pPr>
    </w:p>
    <w:p>
      <w:pPr>
        <w:pStyle w:val="4"/>
        <w:rPr>
          <w:rFonts w:hint="default"/>
        </w:rPr>
      </w:pPr>
      <w:r>
        <w:rPr>
          <w:rFonts w:hint="eastAsia"/>
        </w:rPr>
        <w:t>搬出量の設定</w:t>
      </w:r>
    </w:p>
    <w:p>
      <w:pPr>
        <w:pStyle w:val="0"/>
        <w:rPr>
          <w:rFonts w:hint="default"/>
        </w:rPr>
      </w:pPr>
      <w:r>
        <w:rPr>
          <w:rFonts w:hint="eastAsia"/>
        </w:rPr>
        <w:t>　　　</w:t>
      </w:r>
      <w:r>
        <w:rPr>
          <w:rFonts w:hint="eastAsia"/>
        </w:rPr>
        <w:drawing>
          <wp:inline distT="0" distB="0" distL="0" distR="0">
            <wp:extent cx="5544820" cy="905510"/>
            <wp:effectExtent l="0" t="0" r="0" b="0"/>
            <wp:docPr id="1057" name="Picture 72"/>
            <a:graphic xmlns:a="http://schemas.openxmlformats.org/drawingml/2006/main">
              <a:graphicData uri="http://schemas.openxmlformats.org/drawingml/2006/picture">
                <pic:pic xmlns:pic="http://schemas.openxmlformats.org/drawingml/2006/picture">
                  <pic:nvPicPr>
                    <pic:cNvPr id="1057" name="Picture 72"/>
                    <pic:cNvPicPr>
                      <a:picLocks noChangeAspect="1" noChangeArrowheads="1"/>
                    </pic:cNvPicPr>
                  </pic:nvPicPr>
                  <pic:blipFill>
                    <a:blip r:embed="rId37"/>
                    <a:stretch>
                      <a:fillRect/>
                    </a:stretch>
                  </pic:blipFill>
                  <pic:spPr>
                    <a:xfrm>
                      <a:off x="0" y="0"/>
                      <a:ext cx="5544820" cy="905510"/>
                    </a:xfrm>
                    <a:prstGeom prst="rect">
                      <a:avLst/>
                    </a:prstGeom>
                    <a:noFill/>
                    <a:ln>
                      <a:noFill/>
                    </a:ln>
                  </pic:spPr>
                </pic:pic>
              </a:graphicData>
            </a:graphic>
          </wp:inline>
        </w:drawing>
      </w:r>
    </w:p>
    <w:p>
      <w:pPr>
        <w:pStyle w:val="0"/>
        <w:rPr>
          <w:rFonts w:hint="default"/>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【搬出スケジュールの検討】</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二次仮置場の設置時期や処理先への搬出スケジュールを設定した。</w:t>
      </w:r>
    </w:p>
    <w:p>
      <w:pPr>
        <w:pStyle w:val="0"/>
        <w:ind w:firstLine="420" w:firstLineChars="200"/>
        <w:rPr>
          <w:rFonts w:hint="default" w:ascii="HG丸ｺﾞｼｯｸM-PRO" w:hAnsi="HG丸ｺﾞｼｯｸM-PRO" w:eastAsia="HG丸ｺﾞｼｯｸM-PRO"/>
          <w:bdr w:val="single" w:color="auto" w:sz="4" w:space="0"/>
        </w:rPr>
      </w:pPr>
    </w:p>
    <w:p>
      <w:pPr>
        <w:pStyle w:val="0"/>
        <w:ind w:firstLine="420" w:firstLineChars="200"/>
        <w:rPr>
          <w:rFonts w:hint="default" w:ascii="HG丸ｺﾞｼｯｸM-PRO" w:hAnsi="HG丸ｺﾞｼｯｸM-PRO" w:eastAsia="HG丸ｺﾞｼｯｸM-PRO"/>
          <w:bdr w:val="single" w:color="auto" w:sz="4" w:space="0"/>
        </w:rPr>
      </w:pPr>
      <w:r>
        <w:rPr>
          <w:rFonts w:hint="eastAsia" w:ascii="HG丸ｺﾞｼｯｸM-PRO" w:hAnsi="HG丸ｺﾞｼｯｸM-PRO" w:eastAsia="HG丸ｺﾞｼｯｸM-PRO"/>
          <w:bdr w:val="single" w:color="auto" w:sz="4" w:space="0"/>
        </w:rPr>
        <w:t>設定した搬出スケジュール</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処理目標は３年とした。</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処理先へ搬出できるものは発災直後からでも順次、処理先へ搬出するものとした。</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発災から３０ヵ月後に仮置場からの搬出を終了する計画とした。</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残り６ヶ月で仮置場の現状復旧を行う計画とした。</w:t>
      </w:r>
    </w:p>
    <w:p>
      <w:pPr>
        <w:pStyle w:val="0"/>
        <w:ind w:left="459"/>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【搬出量の設定】</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上記で設定した搬出スケジュールに基づき、処理期間３０ヶ月にわたって毎月均等量を搬出すると仮定して、組成別（可燃物、不燃物）発生量を搬出期間で除することにより月毎の搬出量を設定した。また後段で仮置量を算定するために累積搬出量を算定した。</w:t>
      </w:r>
    </w:p>
    <w:p>
      <w:pPr>
        <w:pStyle w:val="0"/>
        <w:widowControl w:val="1"/>
        <w:jc w:val="left"/>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bdr w:val="single" w:color="auto" w:sz="4" w:space="0"/>
        </w:rPr>
      </w:pPr>
      <w:r>
        <w:rPr>
          <w:rFonts w:hint="eastAsia" w:ascii="HG丸ｺﾞｼｯｸM-PRO" w:hAnsi="HG丸ｺﾞｼｯｸM-PRO" w:eastAsia="HG丸ｺﾞｼｯｸM-PRO"/>
          <w:bdr w:val="single" w:color="auto" w:sz="4" w:space="0"/>
        </w:rPr>
        <w:t>設定した搬出量</w:t>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３　月別搬出量（可燃物）</w:t>
            </w:r>
          </w:p>
        </w:tc>
      </w:tr>
    </w:tbl>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default" w:ascii="ＭＳ ゴシック" w:hAnsi="ＭＳ ゴシック" w:eastAsia="ＭＳ ゴシック"/>
        </w:rPr>
        <w:drawing>
          <wp:inline distT="0" distB="0" distL="0" distR="0">
            <wp:extent cx="6113145" cy="2134235"/>
            <wp:effectExtent l="0" t="0" r="0" b="0"/>
            <wp:docPr id="1058" name="Picture 9"/>
            <a:graphic xmlns:a="http://schemas.openxmlformats.org/drawingml/2006/main">
              <a:graphicData uri="http://schemas.openxmlformats.org/drawingml/2006/picture">
                <pic:pic xmlns:pic="http://schemas.openxmlformats.org/drawingml/2006/picture">
                  <pic:nvPicPr>
                    <pic:cNvPr id="1058" name="Picture 9"/>
                    <pic:cNvPicPr>
                      <a:picLocks noChangeAspect="1" noChangeArrowheads="1"/>
                    </pic:cNvPicPr>
                  </pic:nvPicPr>
                  <pic:blipFill>
                    <a:blip r:embed="rId38"/>
                    <a:stretch>
                      <a:fillRect/>
                    </a:stretch>
                  </pic:blipFill>
                  <pic:spPr>
                    <a:xfrm>
                      <a:off x="0" y="0"/>
                      <a:ext cx="6113145" cy="2134235"/>
                    </a:xfrm>
                    <a:prstGeom prst="rect">
                      <a:avLst/>
                    </a:prstGeom>
                    <a:noFill/>
                    <a:ln>
                      <a:noFill/>
                    </a:ln>
                  </pic:spPr>
                </pic:pic>
              </a:graphicData>
            </a:graphic>
          </wp:inline>
        </w:drawing>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４　月別搬出量（不燃物）</w:t>
            </w:r>
          </w:p>
        </w:tc>
      </w:tr>
    </w:tbl>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default" w:ascii="ＭＳ ゴシック" w:hAnsi="ＭＳ ゴシック" w:eastAsia="ＭＳ ゴシック"/>
        </w:rPr>
        <w:drawing>
          <wp:inline distT="0" distB="0" distL="0" distR="0">
            <wp:extent cx="6113145" cy="2042160"/>
            <wp:effectExtent l="0" t="0" r="0" b="0"/>
            <wp:docPr id="1059" name="Picture 10"/>
            <a:graphic xmlns:a="http://schemas.openxmlformats.org/drawingml/2006/main">
              <a:graphicData uri="http://schemas.openxmlformats.org/drawingml/2006/picture">
                <pic:pic xmlns:pic="http://schemas.openxmlformats.org/drawingml/2006/picture">
                  <pic:nvPicPr>
                    <pic:cNvPr id="1059" name="Picture 10"/>
                    <pic:cNvPicPr>
                      <a:picLocks noChangeAspect="1" noChangeArrowheads="1"/>
                    </pic:cNvPicPr>
                  </pic:nvPicPr>
                  <pic:blipFill>
                    <a:blip r:embed="rId39"/>
                    <a:stretch>
                      <a:fillRect/>
                    </a:stretch>
                  </pic:blipFill>
                  <pic:spPr>
                    <a:xfrm>
                      <a:off x="0" y="0"/>
                      <a:ext cx="6113145" cy="2042160"/>
                    </a:xfrm>
                    <a:prstGeom prst="rect">
                      <a:avLst/>
                    </a:prstGeom>
                    <a:noFill/>
                    <a:ln>
                      <a:noFill/>
                    </a:ln>
                  </pic:spPr>
                </pic:pic>
              </a:graphicData>
            </a:graphic>
          </wp:inline>
        </w:drawing>
      </w:r>
    </w:p>
    <w:p>
      <w:pPr>
        <w:pStyle w:val="0"/>
        <w:widowControl w:val="1"/>
        <w:jc w:val="left"/>
        <w:rPr>
          <w:rFonts w:hint="default" w:ascii="ＭＳ ゴシック" w:hAnsi="ＭＳ ゴシック" w:eastAsia="ＭＳ ゴシック"/>
        </w:rPr>
      </w:pPr>
    </w:p>
    <w:tbl>
      <w:tblPr>
        <w:tblStyle w:val="45"/>
        <w:tblW w:w="9639"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５　累積搬出量（可燃物）</w:t>
            </w:r>
          </w:p>
        </w:tc>
      </w:tr>
    </w:tbl>
    <w:p>
      <w:pPr>
        <w:pStyle w:val="0"/>
        <w:rPr>
          <w:rFonts w:hint="default" w:ascii="ＭＳ ゴシック" w:hAnsi="ＭＳ ゴシック" w:eastAsia="ＭＳ ゴシック"/>
        </w:rPr>
      </w:pPr>
    </w:p>
    <w:p>
      <w:pPr>
        <w:pStyle w:val="0"/>
        <w:rPr>
          <w:rFonts w:hint="default"/>
        </w:rPr>
      </w:pPr>
      <w:r>
        <w:rPr>
          <w:rFonts w:hint="default"/>
        </w:rPr>
        <w:drawing>
          <wp:inline distT="0" distB="0" distL="0" distR="0">
            <wp:extent cx="6113145" cy="2133600"/>
            <wp:effectExtent l="0" t="0" r="0" b="0"/>
            <wp:docPr id="1060" name="Picture 11"/>
            <a:graphic xmlns:a="http://schemas.openxmlformats.org/drawingml/2006/main">
              <a:graphicData uri="http://schemas.openxmlformats.org/drawingml/2006/picture">
                <pic:pic xmlns:pic="http://schemas.openxmlformats.org/drawingml/2006/picture">
                  <pic:nvPicPr>
                    <pic:cNvPr id="1060" name="Picture 11"/>
                    <pic:cNvPicPr>
                      <a:picLocks noChangeAspect="1" noChangeArrowheads="1"/>
                    </pic:cNvPicPr>
                  </pic:nvPicPr>
                  <pic:blipFill>
                    <a:blip r:embed="rId40"/>
                    <a:stretch>
                      <a:fillRect/>
                    </a:stretch>
                  </pic:blipFill>
                  <pic:spPr>
                    <a:xfrm>
                      <a:off x="0" y="0"/>
                      <a:ext cx="6113145" cy="2133600"/>
                    </a:xfrm>
                    <a:prstGeom prst="rect">
                      <a:avLst/>
                    </a:prstGeom>
                    <a:noFill/>
                    <a:ln>
                      <a:noFill/>
                    </a:ln>
                  </pic:spPr>
                </pic:pic>
              </a:graphicData>
            </a:graphic>
          </wp:inline>
        </w:drawing>
      </w:r>
    </w:p>
    <w:p>
      <w:pPr>
        <w:pStyle w:val="0"/>
        <w:rPr>
          <w:rFonts w:hint="default" w:ascii="ＭＳ ゴシック" w:hAnsi="ＭＳ ゴシック" w:eastAsia="ＭＳ ゴシック"/>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６　累積搬出量（不燃物）</w:t>
            </w:r>
          </w:p>
        </w:tc>
      </w:tr>
    </w:tbl>
    <w:p>
      <w:pPr>
        <w:pStyle w:val="0"/>
        <w:rPr>
          <w:rFonts w:hint="default" w:ascii="ＭＳ ゴシック" w:hAnsi="ＭＳ ゴシック" w:eastAsia="ＭＳ ゴシック"/>
        </w:rPr>
      </w:pPr>
    </w:p>
    <w:p>
      <w:pPr>
        <w:pStyle w:val="4"/>
        <w:numPr>
          <w:ilvl w:val="0"/>
          <w:numId w:val="0"/>
        </w:numPr>
        <w:rPr>
          <w:rFonts w:hint="default"/>
        </w:rPr>
      </w:pPr>
      <w:r>
        <w:rPr>
          <w:rFonts w:hint="default"/>
        </w:rPr>
        <w:drawing>
          <wp:inline distT="0" distB="0" distL="0" distR="0">
            <wp:extent cx="6113145" cy="2040255"/>
            <wp:effectExtent l="0" t="0" r="0" b="0"/>
            <wp:docPr id="1061" name="Picture 12"/>
            <a:graphic xmlns:a="http://schemas.openxmlformats.org/drawingml/2006/main">
              <a:graphicData uri="http://schemas.openxmlformats.org/drawingml/2006/picture">
                <pic:pic xmlns:pic="http://schemas.openxmlformats.org/drawingml/2006/picture">
                  <pic:nvPicPr>
                    <pic:cNvPr id="1061" name="Picture 12"/>
                    <pic:cNvPicPr>
                      <a:picLocks noChangeAspect="1" noChangeArrowheads="1"/>
                    </pic:cNvPicPr>
                  </pic:nvPicPr>
                  <pic:blipFill>
                    <a:blip r:embed="rId41"/>
                    <a:stretch>
                      <a:fillRect/>
                    </a:stretch>
                  </pic:blipFill>
                  <pic:spPr>
                    <a:xfrm>
                      <a:off x="0" y="0"/>
                      <a:ext cx="6113145" cy="2040255"/>
                    </a:xfrm>
                    <a:prstGeom prst="rect">
                      <a:avLst/>
                    </a:prstGeom>
                    <a:noFill/>
                    <a:ln>
                      <a:noFill/>
                    </a:ln>
                  </pic:spPr>
                </pic:pic>
              </a:graphicData>
            </a:graphic>
          </wp:inline>
        </w:drawing>
      </w:r>
    </w:p>
    <w:p>
      <w:pPr>
        <w:pStyle w:val="0"/>
        <w:widowControl w:val="1"/>
        <w:jc w:val="left"/>
        <w:rPr>
          <w:rFonts w:hint="default" w:ascii="HG丸ｺﾞｼｯｸM-PRO" w:hAnsi="HG丸ｺﾞｼｯｸM-PRO" w:eastAsia="HG丸ｺﾞｼｯｸM-PRO"/>
        </w:rPr>
      </w:pPr>
      <w:r>
        <w:rPr>
          <w:rFonts w:hint="default"/>
        </w:rPr>
        <w:br w:type="page"/>
      </w:r>
    </w:p>
    <w:p>
      <w:pPr>
        <w:pStyle w:val="4"/>
        <w:rPr>
          <w:rFonts w:hint="default"/>
        </w:rPr>
      </w:pPr>
      <w:r>
        <w:rPr>
          <w:rFonts w:hint="eastAsia"/>
        </w:rPr>
        <w:t>仮置量の算定</w:t>
      </w:r>
    </w:p>
    <w:p>
      <w:pPr>
        <w:pStyle w:val="0"/>
        <w:rPr>
          <w:rFonts w:hint="default" w:ascii="ＭＳ ゴシック" w:hAnsi="ＭＳ ゴシック" w:eastAsia="ＭＳ ゴシック"/>
        </w:rPr>
      </w:pPr>
      <w:r>
        <w:rPr>
          <w:rFonts w:hint="eastAsia" w:ascii="ＭＳ ゴシック" w:hAnsi="ＭＳ ゴシック" w:eastAsia="ＭＳ ゴシック"/>
        </w:rPr>
        <w:t>　　　</w:t>
      </w:r>
      <w:r>
        <w:rPr>
          <w:rFonts w:hint="eastAsia"/>
        </w:rPr>
        <w:drawing>
          <wp:inline distT="0" distB="0" distL="0" distR="0">
            <wp:extent cx="5617845" cy="913130"/>
            <wp:effectExtent l="0" t="0" r="0" b="0"/>
            <wp:docPr id="1062" name="Picture 73"/>
            <a:graphic xmlns:a="http://schemas.openxmlformats.org/drawingml/2006/main">
              <a:graphicData uri="http://schemas.openxmlformats.org/drawingml/2006/picture">
                <pic:pic xmlns:pic="http://schemas.openxmlformats.org/drawingml/2006/picture">
                  <pic:nvPicPr>
                    <pic:cNvPr id="1062" name="Picture 73"/>
                    <pic:cNvPicPr>
                      <a:picLocks noChangeAspect="1" noChangeArrowheads="1"/>
                    </pic:cNvPicPr>
                  </pic:nvPicPr>
                  <pic:blipFill>
                    <a:blip r:embed="rId42"/>
                    <a:stretch>
                      <a:fillRect/>
                    </a:stretch>
                  </pic:blipFill>
                  <pic:spPr>
                    <a:xfrm>
                      <a:off x="0" y="0"/>
                      <a:ext cx="5617845" cy="913130"/>
                    </a:xfrm>
                    <a:prstGeom prst="rect">
                      <a:avLst/>
                    </a:prstGeom>
                    <a:noFill/>
                    <a:ln>
                      <a:noFill/>
                    </a:ln>
                  </pic:spPr>
                </pic:pic>
              </a:graphicData>
            </a:graphic>
          </wp:inline>
        </w:drawing>
      </w:r>
    </w:p>
    <w:p>
      <w:pPr>
        <w:pStyle w:val="0"/>
        <w:rPr>
          <w:rFonts w:hint="default" w:ascii="ＭＳ ゴシック" w:hAnsi="ＭＳ ゴシック" w:eastAsia="ＭＳ ゴシック"/>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【仮置量の算定】</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「①搬入量の設定」及び「②搬出量の設定」で設定した累積搬入量及び累積搬出量から、月別仮置量を算定した。仮置量は災害廃棄物の種類毎（可燃物、不燃物）に算定した。</w:t>
      </w:r>
    </w:p>
    <w:p>
      <w:pPr>
        <w:pStyle w:val="0"/>
        <w:ind w:firstLine="1260" w:firstLineChars="600"/>
        <w:rPr>
          <w:rFonts w:hint="default" w:ascii="HG丸ｺﾞｼｯｸM-PRO" w:hAnsi="HG丸ｺﾞｼｯｸM-PRO" w:eastAsia="HG丸ｺﾞｼｯｸM-PRO"/>
        </w:rPr>
      </w:pPr>
      <w:r>
        <w:rPr>
          <w:rFonts w:hint="eastAsia" w:ascii="HG丸ｺﾞｼｯｸM-PRO" w:hAnsi="HG丸ｺﾞｼｯｸM-PRO" w:eastAsia="HG丸ｺﾞｼｯｸM-PRO"/>
        </w:rPr>
        <w:t>仮置量＝累積搬入量－累積搬出量</w:t>
      </w:r>
    </w:p>
    <w:p>
      <w:pPr>
        <w:pStyle w:val="0"/>
        <w:rPr>
          <w:rFonts w:hint="default" w:ascii="ＭＳ ゴシック" w:hAnsi="ＭＳ ゴシック" w:eastAsia="ＭＳ ゴシック"/>
        </w:rPr>
      </w:pPr>
    </w:p>
    <w:p>
      <w:pPr>
        <w:pStyle w:val="0"/>
        <w:rPr>
          <w:rFonts w:hint="default" w:ascii="HG丸ｺﾞｼｯｸM-PRO" w:hAnsi="HG丸ｺﾞｼｯｸM-PRO" w:eastAsia="HG丸ｺﾞｼｯｸM-PRO"/>
          <w:bdr w:val="single" w:color="auto" w:sz="4" w:space="0"/>
        </w:rPr>
      </w:pPr>
      <w:r>
        <w:rPr>
          <w:rFonts w:hint="eastAsia" w:ascii="HG丸ｺﾞｼｯｸM-PRO" w:hAnsi="HG丸ｺﾞｼｯｸM-PRO" w:eastAsia="HG丸ｺﾞｼｯｸM-PRO"/>
          <w:bdr w:val="single" w:color="auto" w:sz="4" w:space="0"/>
        </w:rPr>
        <w:t>算定した仮置量</w:t>
      </w:r>
    </w:p>
    <w:p>
      <w:pPr>
        <w:pStyle w:val="0"/>
        <w:rPr>
          <w:rFonts w:hint="default" w:ascii="HG丸ｺﾞｼｯｸM-PRO" w:hAnsi="HG丸ｺﾞｼｯｸM-PRO" w:eastAsia="HG丸ｺﾞｼｯｸM-PRO"/>
          <w:bdr w:val="single" w:color="auto" w:sz="4" w:space="0"/>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７　仮置量（可燃物）</w:t>
            </w:r>
          </w:p>
        </w:tc>
      </w:tr>
    </w:tbl>
    <w:p>
      <w:pPr>
        <w:pStyle w:val="0"/>
        <w:rPr>
          <w:rFonts w:hint="default" w:ascii="HG丸ｺﾞｼｯｸM-PRO" w:hAnsi="HG丸ｺﾞｼｯｸM-PRO" w:eastAsia="HG丸ｺﾞｼｯｸM-PRO"/>
          <w:bdr w:val="single" w:color="auto" w:sz="4" w:space="0"/>
        </w:rPr>
      </w:pPr>
    </w:p>
    <w:p>
      <w:pPr>
        <w:pStyle w:val="0"/>
        <w:rPr>
          <w:rFonts w:hint="default" w:ascii="HG丸ｺﾞｼｯｸM-PRO" w:hAnsi="HG丸ｺﾞｼｯｸM-PRO" w:eastAsia="HG丸ｺﾞｼｯｸM-PRO"/>
          <w:bdr w:val="single" w:color="auto" w:sz="4" w:space="0"/>
        </w:rPr>
      </w:pPr>
      <w:r>
        <w:rPr>
          <w:rFonts w:hint="default" w:ascii="HG丸ｺﾞｼｯｸM-PRO" w:hAnsi="HG丸ｺﾞｼｯｸM-PRO" w:eastAsia="HG丸ｺﾞｼｯｸM-PRO"/>
          <w:bdr w:val="single" w:color="auto" w:sz="4" w:space="0"/>
        </w:rPr>
        <w:drawing>
          <wp:inline distT="0" distB="0" distL="0" distR="0">
            <wp:extent cx="6113145" cy="2015490"/>
            <wp:effectExtent l="0" t="0" r="0" b="0"/>
            <wp:docPr id="1063" name="Picture 13"/>
            <a:graphic xmlns:a="http://schemas.openxmlformats.org/drawingml/2006/main">
              <a:graphicData uri="http://schemas.openxmlformats.org/drawingml/2006/picture">
                <pic:pic xmlns:pic="http://schemas.openxmlformats.org/drawingml/2006/picture">
                  <pic:nvPicPr>
                    <pic:cNvPr id="1063" name="Picture 13"/>
                    <pic:cNvPicPr>
                      <a:picLocks noChangeAspect="1" noChangeArrowheads="1"/>
                    </pic:cNvPicPr>
                  </pic:nvPicPr>
                  <pic:blipFill>
                    <a:blip r:embed="rId43"/>
                    <a:stretch>
                      <a:fillRect/>
                    </a:stretch>
                  </pic:blipFill>
                  <pic:spPr>
                    <a:xfrm>
                      <a:off x="0" y="0"/>
                      <a:ext cx="6113145" cy="2015490"/>
                    </a:xfrm>
                    <a:prstGeom prst="rect">
                      <a:avLst/>
                    </a:prstGeom>
                    <a:noFill/>
                    <a:ln>
                      <a:noFill/>
                    </a:ln>
                  </pic:spPr>
                </pic:pic>
              </a:graphicData>
            </a:graphic>
          </wp:inline>
        </w:drawing>
      </w:r>
    </w:p>
    <w:p>
      <w:pPr>
        <w:pStyle w:val="0"/>
        <w:rPr>
          <w:rFonts w:hint="default"/>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８　仮置量（不燃物）</w:t>
            </w:r>
          </w:p>
        </w:tc>
      </w:tr>
    </w:tbl>
    <w:p>
      <w:pPr>
        <w:pStyle w:val="0"/>
        <w:rPr>
          <w:rFonts w:hint="default" w:ascii="HG丸ｺﾞｼｯｸM-PRO" w:hAnsi="HG丸ｺﾞｼｯｸM-PRO" w:eastAsia="HG丸ｺﾞｼｯｸM-PRO"/>
          <w:bdr w:val="single" w:color="auto" w:sz="4" w:space="0"/>
        </w:rPr>
      </w:pPr>
    </w:p>
    <w:p>
      <w:pPr>
        <w:pStyle w:val="0"/>
        <w:rPr>
          <w:rFonts w:hint="default" w:ascii="ＭＳ ゴシック" w:hAnsi="ＭＳ ゴシック" w:eastAsia="ＭＳ ゴシック"/>
        </w:rPr>
      </w:pPr>
      <w:r>
        <w:rPr>
          <w:rFonts w:hint="default" w:ascii="ＭＳ ゴシック" w:hAnsi="ＭＳ ゴシック" w:eastAsia="ＭＳ ゴシック"/>
        </w:rPr>
        <w:drawing>
          <wp:inline distT="0" distB="0" distL="0" distR="0">
            <wp:extent cx="6113145" cy="2010410"/>
            <wp:effectExtent l="0" t="0" r="0" b="0"/>
            <wp:docPr id="1064" name="Picture 14"/>
            <a:graphic xmlns:a="http://schemas.openxmlformats.org/drawingml/2006/main">
              <a:graphicData uri="http://schemas.openxmlformats.org/drawingml/2006/picture">
                <pic:pic xmlns:pic="http://schemas.openxmlformats.org/drawingml/2006/picture">
                  <pic:nvPicPr>
                    <pic:cNvPr id="1064" name="Picture 14"/>
                    <pic:cNvPicPr>
                      <a:picLocks noChangeAspect="1" noChangeArrowheads="1"/>
                    </pic:cNvPicPr>
                  </pic:nvPicPr>
                  <pic:blipFill>
                    <a:blip r:embed="rId44"/>
                    <a:stretch>
                      <a:fillRect/>
                    </a:stretch>
                  </pic:blipFill>
                  <pic:spPr>
                    <a:xfrm>
                      <a:off x="0" y="0"/>
                      <a:ext cx="6113145" cy="2010410"/>
                    </a:xfrm>
                    <a:prstGeom prst="rect">
                      <a:avLst/>
                    </a:prstGeom>
                    <a:noFill/>
                    <a:ln>
                      <a:noFill/>
                    </a:ln>
                  </pic:spPr>
                </pic:pic>
              </a:graphicData>
            </a:graphic>
          </wp:inline>
        </w:drawing>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eastAsia"/>
        </w:rPr>
        <w:t>必要面積の算定</w:t>
      </w:r>
    </w:p>
    <w:p>
      <w:pPr>
        <w:pStyle w:val="0"/>
        <w:rPr>
          <w:rFonts w:hint="default" w:ascii="ＭＳ ゴシック" w:hAnsi="ＭＳ ゴシック" w:eastAsia="ＭＳ ゴシック"/>
        </w:rPr>
      </w:pPr>
      <w:r>
        <w:rPr>
          <w:rFonts w:hint="eastAsia" w:ascii="ＭＳ ゴシック" w:hAnsi="ＭＳ ゴシック" w:eastAsia="ＭＳ ゴシック"/>
        </w:rPr>
        <w:t>　　</w:t>
      </w:r>
      <w:r>
        <w:rPr>
          <w:rFonts w:hint="default"/>
        </w:rPr>
        <w:drawing>
          <wp:inline distT="0" distB="0" distL="0" distR="0">
            <wp:extent cx="5544820" cy="904240"/>
            <wp:effectExtent l="0" t="0" r="0" b="0"/>
            <wp:docPr id="1065" name="Picture 74"/>
            <a:graphic xmlns:a="http://schemas.openxmlformats.org/drawingml/2006/main">
              <a:graphicData uri="http://schemas.openxmlformats.org/drawingml/2006/picture">
                <pic:pic xmlns:pic="http://schemas.openxmlformats.org/drawingml/2006/picture">
                  <pic:nvPicPr>
                    <pic:cNvPr id="1065" name="Picture 74"/>
                    <pic:cNvPicPr>
                      <a:picLocks noChangeAspect="1" noChangeArrowheads="1"/>
                    </pic:cNvPicPr>
                  </pic:nvPicPr>
                  <pic:blipFill>
                    <a:blip r:embed="rId45"/>
                    <a:stretch>
                      <a:fillRect/>
                    </a:stretch>
                  </pic:blipFill>
                  <pic:spPr>
                    <a:xfrm>
                      <a:off x="0" y="0"/>
                      <a:ext cx="5544820" cy="904240"/>
                    </a:xfrm>
                    <a:prstGeom prst="rect">
                      <a:avLst/>
                    </a:prstGeom>
                    <a:noFill/>
                    <a:ln>
                      <a:noFill/>
                    </a:ln>
                  </pic:spPr>
                </pic:pic>
              </a:graphicData>
            </a:graphic>
          </wp:inline>
        </w:drawing>
      </w:r>
    </w:p>
    <w:p>
      <w:pPr>
        <w:pStyle w:val="0"/>
        <w:widowControl w:val="1"/>
        <w:jc w:val="left"/>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【必要面積の算定】</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「③仮置量の算定」で設定した仮置量をもとに、冒頭で示した推計式により必要面積を算定した。必要面積は災害廃棄物の種類毎に算定し、種類毎の必要面積を合算することで全体の必要面積とした。</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迅速な災害廃棄物対応のためには最大面積を事前に確保しておくことが重要であるが、平時や発災直後から最大面積を確保しておくことが困難な場合は、月毎の必要面積の算定値を参考に段階的に確保していく。</w:t>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巻末図表１９　月別の仮置場の必要面積の推移（可燃物）</w:t>
            </w:r>
          </w:p>
        </w:tc>
      </w:tr>
    </w:tbl>
    <w:p>
      <w:pPr>
        <w:pStyle w:val="0"/>
        <w:rPr>
          <w:rFonts w:hint="default" w:ascii="HG丸ｺﾞｼｯｸM-PRO" w:hAnsi="HG丸ｺﾞｼｯｸM-PRO" w:eastAsia="HG丸ｺﾞｼｯｸM-PRO"/>
        </w:rPr>
      </w:pPr>
    </w:p>
    <w:p>
      <w:pPr>
        <w:pStyle w:val="0"/>
        <w:rPr>
          <w:rFonts w:hint="default"/>
        </w:rPr>
      </w:pPr>
      <w:r>
        <w:rPr>
          <w:rFonts w:hint="default"/>
        </w:rPr>
        <w:drawing>
          <wp:inline distT="0" distB="0" distL="0" distR="0">
            <wp:extent cx="6113145" cy="2015490"/>
            <wp:effectExtent l="0" t="0" r="0" b="0"/>
            <wp:docPr id="1066" name="Picture 15"/>
            <a:graphic xmlns:a="http://schemas.openxmlformats.org/drawingml/2006/main">
              <a:graphicData uri="http://schemas.openxmlformats.org/drawingml/2006/picture">
                <pic:pic xmlns:pic="http://schemas.openxmlformats.org/drawingml/2006/picture">
                  <pic:nvPicPr>
                    <pic:cNvPr id="1066" name="Picture 15"/>
                    <pic:cNvPicPr>
                      <a:picLocks noChangeAspect="1" noChangeArrowheads="1"/>
                    </pic:cNvPicPr>
                  </pic:nvPicPr>
                  <pic:blipFill>
                    <a:blip r:embed="rId46"/>
                    <a:stretch>
                      <a:fillRect/>
                    </a:stretch>
                  </pic:blipFill>
                  <pic:spPr>
                    <a:xfrm>
                      <a:off x="0" y="0"/>
                      <a:ext cx="6113145" cy="2015490"/>
                    </a:xfrm>
                    <a:prstGeom prst="rect">
                      <a:avLst/>
                    </a:prstGeom>
                    <a:noFill/>
                    <a:ln>
                      <a:noFill/>
                    </a:ln>
                  </pic:spPr>
                </pic:pic>
              </a:graphicData>
            </a:graphic>
          </wp:inline>
        </w:drawing>
      </w:r>
    </w:p>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2</w:t>
            </w:r>
            <w:r>
              <w:rPr>
                <w:rFonts w:hint="eastAsia" w:ascii="HG丸ｺﾞｼｯｸM-PRO" w:hAnsi="HG丸ｺﾞｼｯｸM-PRO" w:eastAsia="HG丸ｺﾞｼｯｸM-PRO"/>
              </w:rPr>
              <w:t>０　月別の仮置場の必要面積の推移（不燃物）</w:t>
            </w:r>
          </w:p>
        </w:tc>
      </w:tr>
    </w:tbl>
    <w:p>
      <w:pPr>
        <w:pStyle w:val="0"/>
        <w:rPr>
          <w:rFonts w:hint="default" w:ascii="HG丸ｺﾞｼｯｸM-PRO" w:hAnsi="HG丸ｺﾞｼｯｸM-PRO" w:eastAsia="HG丸ｺﾞｼｯｸM-PRO"/>
        </w:rPr>
      </w:pPr>
    </w:p>
    <w:p>
      <w:pPr>
        <w:pStyle w:val="0"/>
        <w:rPr>
          <w:rFonts w:hint="default"/>
        </w:rPr>
      </w:pPr>
      <w:r>
        <w:rPr>
          <w:rFonts w:hint="default"/>
        </w:rPr>
        <w:drawing>
          <wp:inline distT="0" distB="0" distL="0" distR="0">
            <wp:extent cx="6113145" cy="2010410"/>
            <wp:effectExtent l="0" t="0" r="0" b="0"/>
            <wp:docPr id="1067" name="Picture 16"/>
            <a:graphic xmlns:a="http://schemas.openxmlformats.org/drawingml/2006/main">
              <a:graphicData uri="http://schemas.openxmlformats.org/drawingml/2006/picture">
                <pic:pic xmlns:pic="http://schemas.openxmlformats.org/drawingml/2006/picture">
                  <pic:nvPicPr>
                    <pic:cNvPr id="1067" name="Picture 16"/>
                    <pic:cNvPicPr>
                      <a:picLocks noChangeAspect="1" noChangeArrowheads="1"/>
                    </pic:cNvPicPr>
                  </pic:nvPicPr>
                  <pic:blipFill>
                    <a:blip r:embed="rId47"/>
                    <a:stretch>
                      <a:fillRect/>
                    </a:stretch>
                  </pic:blipFill>
                  <pic:spPr>
                    <a:xfrm>
                      <a:off x="0" y="0"/>
                      <a:ext cx="6113145" cy="2010410"/>
                    </a:xfrm>
                    <a:prstGeom prst="rect">
                      <a:avLst/>
                    </a:prstGeom>
                    <a:noFill/>
                    <a:ln>
                      <a:noFill/>
                    </a:ln>
                  </pic:spPr>
                </pic:pic>
              </a:graphicData>
            </a:graphic>
          </wp:inline>
        </w:drawing>
      </w:r>
    </w:p>
    <w:p>
      <w:pPr>
        <w:pStyle w:val="0"/>
        <w:widowControl w:val="1"/>
        <w:jc w:val="left"/>
        <w:rPr>
          <w:rFonts w:hint="default"/>
        </w:rPr>
      </w:pPr>
      <w:r>
        <w:rPr>
          <w:rFonts w:hint="default"/>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2</w:t>
            </w:r>
            <w:r>
              <w:rPr>
                <w:rFonts w:hint="eastAsia" w:ascii="HG丸ｺﾞｼｯｸM-PRO" w:hAnsi="HG丸ｺﾞｼｯｸM-PRO" w:eastAsia="HG丸ｺﾞｼｯｸM-PRO"/>
              </w:rPr>
              <w:t>１　仮置場の候補地リスト</w:t>
            </w:r>
          </w:p>
        </w:tc>
      </w:tr>
    </w:tbl>
    <w:p>
      <w:pPr>
        <w:pStyle w:val="0"/>
        <w:rPr>
          <w:rFonts w:hint="default" w:ascii="HG丸ｺﾞｼｯｸM-PRO" w:hAnsi="HG丸ｺﾞｼｯｸM-PRO" w:eastAsia="HG丸ｺﾞｼｯｸM-PRO"/>
        </w:rPr>
      </w:pPr>
    </w:p>
    <w:tbl>
      <w:tblPr>
        <w:tblStyle w:val="11"/>
        <w:tblW w:w="9740" w:type="dxa"/>
        <w:jc w:val="center"/>
        <w:tblInd w:w="0" w:type="dxa"/>
        <w:tblLayout w:type="fixed"/>
        <w:tblCellMar>
          <w:left w:w="99" w:type="dxa"/>
          <w:right w:w="99" w:type="dxa"/>
        </w:tblCellMar>
        <w:tblLook w:firstRow="1" w:lastRow="0" w:firstColumn="1" w:lastColumn="0" w:noHBand="0" w:noVBand="1" w:val="04A0"/>
      </w:tblPr>
      <w:tblGrid>
        <w:gridCol w:w="580"/>
        <w:gridCol w:w="3120"/>
        <w:gridCol w:w="1720"/>
        <w:gridCol w:w="1060"/>
        <w:gridCol w:w="1060"/>
        <w:gridCol w:w="2200"/>
      </w:tblGrid>
      <w:tr>
        <w:trPr>
          <w:trHeight w:val="780" w:hRule="atLeast"/>
        </w:trPr>
        <w:tc>
          <w:tcPr>
            <w:tcW w:w="58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No.</w:t>
            </w:r>
          </w:p>
        </w:tc>
        <w:tc>
          <w:tcPr>
            <w:tcW w:w="312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名称</w:t>
            </w:r>
          </w:p>
        </w:tc>
        <w:tc>
          <w:tcPr>
            <w:tcW w:w="172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所管</w:t>
            </w:r>
          </w:p>
        </w:tc>
        <w:tc>
          <w:tcPr>
            <w:tcW w:w="106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敷地面積</w:t>
            </w:r>
          </w:p>
        </w:tc>
        <w:tc>
          <w:tcPr>
            <w:tcW w:w="106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有効面積</w:t>
            </w:r>
          </w:p>
        </w:tc>
        <w:tc>
          <w:tcPr>
            <w:tcW w:w="2200" w:type="dxa"/>
            <w:tcBorders>
              <w:top w:val="single" w:color="000000" w:sz="4" w:space="0"/>
              <w:left w:val="nil"/>
              <w:bottom w:val="single" w:color="000000" w:sz="4" w:space="0"/>
              <w:right w:val="nil"/>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他の用途指定</w:t>
            </w:r>
          </w:p>
        </w:tc>
      </w:tr>
      <w:tr>
        <w:trPr>
          <w:trHeight w:val="780" w:hRule="atLeast"/>
        </w:trPr>
        <w:tc>
          <w:tcPr>
            <w:tcW w:w="5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1</w:t>
            </w:r>
          </w:p>
        </w:tc>
        <w:tc>
          <w:tcPr>
            <w:tcW w:w="31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市営野球場</w:t>
            </w:r>
          </w:p>
        </w:tc>
        <w:tc>
          <w:tcPr>
            <w:tcW w:w="17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教育委員会</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（生涯学習課）</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1.3ha</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1.2ha</w:t>
            </w:r>
          </w:p>
        </w:tc>
        <w:tc>
          <w:tcPr>
            <w:tcW w:w="220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ヘリコプター発着場</w:t>
            </w:r>
          </w:p>
        </w:tc>
      </w:tr>
      <w:tr>
        <w:trPr>
          <w:trHeight w:val="780" w:hRule="atLeast"/>
        </w:trPr>
        <w:tc>
          <w:tcPr>
            <w:tcW w:w="5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2</w:t>
            </w:r>
          </w:p>
        </w:tc>
        <w:tc>
          <w:tcPr>
            <w:tcW w:w="31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多目的広場（季美の森広場）</w:t>
            </w:r>
          </w:p>
        </w:tc>
        <w:tc>
          <w:tcPr>
            <w:tcW w:w="17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教育委員会</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（生涯学習課）</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2.7ha</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2.5ha</w:t>
            </w:r>
          </w:p>
        </w:tc>
        <w:tc>
          <w:tcPr>
            <w:tcW w:w="220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応急仮設住宅候補地</w:t>
            </w:r>
          </w:p>
        </w:tc>
      </w:tr>
      <w:tr>
        <w:trPr>
          <w:trHeight w:val="780" w:hRule="atLeast"/>
        </w:trPr>
        <w:tc>
          <w:tcPr>
            <w:tcW w:w="5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3</w:t>
            </w:r>
          </w:p>
        </w:tc>
        <w:tc>
          <w:tcPr>
            <w:tcW w:w="31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運動広場</w:t>
            </w:r>
          </w:p>
        </w:tc>
        <w:tc>
          <w:tcPr>
            <w:tcW w:w="17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教育委員会</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（生涯学習課）</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3.5ha</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1.9ha</w:t>
            </w:r>
          </w:p>
        </w:tc>
        <w:tc>
          <w:tcPr>
            <w:tcW w:w="220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応急仮設住宅候補地</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避難場所</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ヘリコプター発着場</w:t>
            </w:r>
          </w:p>
        </w:tc>
      </w:tr>
      <w:tr>
        <w:trPr>
          <w:trHeight w:val="780" w:hRule="atLeast"/>
        </w:trPr>
        <w:tc>
          <w:tcPr>
            <w:tcW w:w="5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4</w:t>
            </w:r>
          </w:p>
        </w:tc>
        <w:tc>
          <w:tcPr>
            <w:tcW w:w="31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大網白里アリーナ北東駐車場</w:t>
            </w:r>
          </w:p>
        </w:tc>
        <w:tc>
          <w:tcPr>
            <w:tcW w:w="17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教育委員会</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（生涯学習課）</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3.8ha</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0.5ha</w:t>
            </w:r>
          </w:p>
        </w:tc>
        <w:tc>
          <w:tcPr>
            <w:tcW w:w="220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避難場所</w:t>
            </w:r>
            <w:r>
              <w:rPr>
                <w:rFonts w:hint="eastAsia"/>
              </w:rPr>
              <w:br w:type="textWrapping" w:clear="none"/>
            </w:r>
            <w:r>
              <w:rPr>
                <w:rFonts w:hint="eastAsia" w:ascii="HG丸ｺﾞｼｯｸM-PRO" w:hAnsi="HG丸ｺﾞｼｯｸM-PRO" w:eastAsia="HG丸ｺﾞｼｯｸM-PRO"/>
                <w:kern w:val="0"/>
              </w:rPr>
              <w:t>物資集積拠点</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ヘリコプター発着場</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大雨時の調整池</w:t>
            </w:r>
          </w:p>
        </w:tc>
      </w:tr>
      <w:tr>
        <w:trPr>
          <w:trHeight w:val="780" w:hRule="atLeast"/>
        </w:trPr>
        <w:tc>
          <w:tcPr>
            <w:tcW w:w="5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5</w:t>
            </w:r>
          </w:p>
        </w:tc>
        <w:tc>
          <w:tcPr>
            <w:tcW w:w="31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旧大網小学校</w:t>
            </w:r>
          </w:p>
        </w:tc>
        <w:tc>
          <w:tcPr>
            <w:tcW w:w="17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教育委員会</w:t>
            </w:r>
            <w:r>
              <w:rPr>
                <w:rFonts w:hint="eastAsia" w:ascii="HG丸ｺﾞｼｯｸM-PRO" w:hAnsi="HG丸ｺﾞｼｯｸM-PRO" w:eastAsia="HG丸ｺﾞｼｯｸM-PRO"/>
                <w:kern w:val="0"/>
              </w:rPr>
              <w:br w:type="textWrapping" w:clear="none"/>
            </w:r>
            <w:r>
              <w:rPr>
                <w:rFonts w:hint="eastAsia" w:ascii="HG丸ｺﾞｼｯｸM-PRO" w:hAnsi="HG丸ｺﾞｼｯｸM-PRO" w:eastAsia="HG丸ｺﾞｼｯｸM-PRO"/>
                <w:kern w:val="0"/>
              </w:rPr>
              <w:t>（管理課）</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1.0ha</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0.5ha</w:t>
            </w:r>
          </w:p>
        </w:tc>
        <w:tc>
          <w:tcPr>
            <w:tcW w:w="220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　</w:t>
            </w:r>
          </w:p>
        </w:tc>
      </w:tr>
      <w:tr>
        <w:trPr>
          <w:trHeight w:val="780" w:hRule="atLeast"/>
        </w:trPr>
        <w:tc>
          <w:tcPr>
            <w:tcW w:w="5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6</w:t>
            </w:r>
          </w:p>
        </w:tc>
        <w:tc>
          <w:tcPr>
            <w:tcW w:w="31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浄化センター</w:t>
            </w:r>
          </w:p>
        </w:tc>
        <w:tc>
          <w:tcPr>
            <w:tcW w:w="17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下水道課</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5.0ha</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0.7ha</w:t>
            </w:r>
          </w:p>
        </w:tc>
        <w:tc>
          <w:tcPr>
            <w:tcW w:w="220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　</w:t>
            </w:r>
          </w:p>
        </w:tc>
      </w:tr>
      <w:tr>
        <w:trPr>
          <w:trHeight w:val="780" w:hRule="atLeast"/>
        </w:trPr>
        <w:tc>
          <w:tcPr>
            <w:tcW w:w="5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7</w:t>
            </w:r>
          </w:p>
        </w:tc>
        <w:tc>
          <w:tcPr>
            <w:tcW w:w="31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みどりが丘市有地</w:t>
            </w:r>
          </w:p>
        </w:tc>
        <w:tc>
          <w:tcPr>
            <w:tcW w:w="172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財政課</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3.6ha</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1.0ha</w:t>
            </w:r>
          </w:p>
        </w:tc>
        <w:tc>
          <w:tcPr>
            <w:tcW w:w="220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　</w:t>
            </w:r>
          </w:p>
        </w:tc>
      </w:tr>
      <w:tr>
        <w:trPr>
          <w:trHeight w:val="780" w:hRule="atLeast"/>
        </w:trPr>
        <w:tc>
          <w:tcPr>
            <w:tcW w:w="5420" w:type="dxa"/>
            <w:gridSpan w:val="3"/>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合計</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20.9ha</w:t>
            </w:r>
          </w:p>
        </w:tc>
        <w:tc>
          <w:tcPr>
            <w:tcW w:w="106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8.3ha</w:t>
            </w:r>
          </w:p>
        </w:tc>
        <w:tc>
          <w:tcPr>
            <w:tcW w:w="220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kern w:val="0"/>
              </w:rPr>
            </w:pPr>
          </w:p>
        </w:tc>
      </w:tr>
    </w:tbl>
    <w:p>
      <w:pPr>
        <w:pStyle w:val="0"/>
        <w:rPr>
          <w:rFonts w:hint="default" w:ascii="HG丸ｺﾞｼｯｸM-PRO" w:hAnsi="HG丸ｺﾞｼｯｸM-PRO" w:eastAsia="HG丸ｺﾞｼｯｸM-PRO"/>
        </w:rPr>
      </w:pPr>
    </w:p>
    <w:p>
      <w:pPr>
        <w:rPr>
          <w:rFonts w:hint="default" w:ascii="ＭＳ ゴシック" w:hAnsi="ＭＳ ゴシック" w:eastAsia="ＭＳ ゴシック"/>
        </w:rPr>
        <w:sectPr>
          <w:headerReference r:id="rId28" w:type="default"/>
          <w:footerReference r:id="rId29" w:type="default"/>
          <w:pgSz w:w="11906" w:h="16838"/>
          <w:pgMar w:top="1440" w:right="1077" w:bottom="1440" w:left="1077" w:header="851" w:footer="992" w:gutter="0"/>
          <w:pgNumType w:start="1"/>
          <w:cols w:space="720"/>
          <w:textDirection w:val="lrTb"/>
          <w:docGrid w:type="linesAndChars" w:linePitch="360"/>
        </w:sect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資料</w:t>
            </w:r>
            <w:r>
              <w:rPr>
                <w:rFonts w:hint="eastAsia" w:ascii="HG丸ｺﾞｼｯｸM-PRO" w:hAnsi="HG丸ｺﾞｼｯｸM-PRO" w:eastAsia="HG丸ｺﾞｼｯｸM-PRO"/>
              </w:rPr>
              <w:t>4</w:t>
            </w:r>
            <w:r>
              <w:rPr>
                <w:rFonts w:hint="eastAsia" w:ascii="HG丸ｺﾞｼｯｸM-PRO" w:hAnsi="HG丸ｺﾞｼｯｸM-PRO" w:eastAsia="HG丸ｺﾞｼｯｸM-PRO"/>
              </w:rPr>
              <w:t>　一次仮置場の設置・管理・運営に必要な資機材</w:t>
            </w:r>
          </w:p>
        </w:tc>
      </w:tr>
    </w:tbl>
    <w:p>
      <w:pPr>
        <w:pStyle w:val="0"/>
        <w:rPr>
          <w:rFonts w:hint="default" w:ascii="HG丸ｺﾞｼｯｸM-PRO" w:hAnsi="HG丸ｺﾞｼｯｸM-PRO" w:eastAsia="HG丸ｺﾞｼｯｸM-PRO"/>
        </w:rPr>
      </w:pPr>
    </w:p>
    <w:tbl>
      <w:tblPr>
        <w:tblStyle w:val="11"/>
        <w:tblW w:w="9244" w:type="dxa"/>
        <w:jc w:val="center"/>
        <w:tblInd w:w="0" w:type="dxa"/>
        <w:tblBorders>
          <w:top w:val="single" w:color="auto" w:sz="4" w:space="0"/>
          <w:bottom w:val="single" w:color="auto" w:sz="4" w:space="0"/>
          <w:insideH w:val="single" w:color="auto" w:sz="4" w:space="0"/>
          <w:insideV w:val="single" w:color="auto" w:sz="4" w:space="0"/>
        </w:tblBorders>
        <w:tblLayout w:type="fixed"/>
        <w:tblLook w:firstRow="1" w:lastRow="0" w:firstColumn="1" w:lastColumn="0" w:noHBand="0" w:noVBand="1" w:val="04A0"/>
      </w:tblPr>
      <w:tblGrid>
        <w:gridCol w:w="433"/>
        <w:gridCol w:w="2977"/>
        <w:gridCol w:w="4111"/>
        <w:gridCol w:w="850"/>
        <w:gridCol w:w="873"/>
      </w:tblGrid>
      <w:tr>
        <w:trPr>
          <w:tblHeader/>
        </w:trPr>
        <w:tc>
          <w:tcPr>
            <w:tcW w:w="433" w:type="dxa"/>
            <w:shd w:val="clear" w:color="auto" w:fill="D9D9D9"/>
            <w:vAlign w:val="center"/>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区分</w:t>
            </w:r>
          </w:p>
        </w:tc>
        <w:tc>
          <w:tcPr>
            <w:tcW w:w="2977" w:type="dxa"/>
            <w:shd w:val="clear" w:color="auto" w:fill="D9D9D9"/>
            <w:vAlign w:val="center"/>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主な資機材リスト</w:t>
            </w:r>
          </w:p>
        </w:tc>
        <w:tc>
          <w:tcPr>
            <w:tcW w:w="4111" w:type="dxa"/>
            <w:shd w:val="clear" w:color="auto" w:fill="D9D9D9"/>
            <w:vAlign w:val="center"/>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用途</w:t>
            </w:r>
          </w:p>
        </w:tc>
        <w:tc>
          <w:tcPr>
            <w:tcW w:w="850" w:type="dxa"/>
            <w:shd w:val="clear" w:color="auto" w:fill="D9D9D9"/>
            <w:vAlign w:val="center"/>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必須</w:t>
            </w:r>
          </w:p>
        </w:tc>
        <w:tc>
          <w:tcPr>
            <w:tcW w:w="873" w:type="dxa"/>
            <w:shd w:val="clear" w:color="auto" w:fill="D9D9D9"/>
            <w:vAlign w:val="center"/>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必要に応じて</w:t>
            </w:r>
          </w:p>
        </w:tc>
      </w:tr>
      <w:tr>
        <w:trPr/>
        <w:tc>
          <w:tcPr>
            <w:tcW w:w="433" w:type="dxa"/>
            <w:vMerge w:val="restart"/>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設置</w:t>
            </w: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敷鉄板、砂利</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大型車両の走行、ぬかるみ防止</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出入口ゲート、チェーン、南京錠</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保安対策（進入防止）、不法投棄・盗難等の防止</w:t>
            </w:r>
          </w:p>
        </w:tc>
        <w:tc>
          <w:tcPr>
            <w:tcW w:w="850"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873" w:type="dxa"/>
            <w:vAlign w:val="top"/>
          </w:tcPr>
          <w:p>
            <w:pPr>
              <w:pStyle w:val="0"/>
              <w:spacing w:line="340" w:lineRule="exact"/>
              <w:jc w:val="center"/>
              <w:rPr>
                <w:rFonts w:hint="default" w:ascii="HG丸ｺﾞｼｯｸM-PRO" w:hAnsi="HG丸ｺﾞｼｯｸM-PRO" w:eastAsia="HG丸ｺﾞｼｯｸM-PRO"/>
              </w:rPr>
            </w:pP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案内板、立て看板、場内配置図、告知看板</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運搬車両の誘導、災害廃棄物の分別区分の表示、お知らせ・注意事項の表示等</w:t>
            </w:r>
          </w:p>
        </w:tc>
        <w:tc>
          <w:tcPr>
            <w:tcW w:w="850"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873" w:type="dxa"/>
            <w:vAlign w:val="top"/>
          </w:tcPr>
          <w:p>
            <w:pPr>
              <w:pStyle w:val="0"/>
              <w:spacing w:line="340" w:lineRule="exact"/>
              <w:jc w:val="center"/>
              <w:rPr>
                <w:rFonts w:hint="default" w:ascii="HG丸ｺﾞｼｯｸM-PRO" w:hAnsi="HG丸ｺﾞｼｯｸM-PRO" w:eastAsia="HG丸ｺﾞｼｯｸM-PRO"/>
              </w:rPr>
            </w:pP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コーン標識、ロープ</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仮置き区域の明示、重機の可動範囲・立ち入り禁止区域の明示等の安全対策</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受付</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搬入受付</w:t>
            </w:r>
          </w:p>
        </w:tc>
        <w:tc>
          <w:tcPr>
            <w:tcW w:w="850"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873" w:type="dxa"/>
            <w:vAlign w:val="top"/>
          </w:tcPr>
          <w:p>
            <w:pPr>
              <w:pStyle w:val="0"/>
              <w:spacing w:line="340" w:lineRule="exact"/>
              <w:jc w:val="center"/>
              <w:rPr>
                <w:rFonts w:hint="default" w:ascii="HG丸ｺﾞｼｯｸM-PRO" w:hAnsi="HG丸ｺﾞｼｯｸM-PRO" w:eastAsia="HG丸ｺﾞｼｯｸM-PRO"/>
              </w:rPr>
            </w:pPr>
          </w:p>
        </w:tc>
      </w:tr>
      <w:tr>
        <w:trPr/>
        <w:tc>
          <w:tcPr>
            <w:tcW w:w="433" w:type="dxa"/>
            <w:vMerge w:val="restart"/>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処理</w:t>
            </w:r>
          </w:p>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フォーク付のバックホウ等</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災害廃棄物の粗分別、粗破砕、積み上げ、搬出車両の積み込み</w:t>
            </w:r>
          </w:p>
        </w:tc>
        <w:tc>
          <w:tcPr>
            <w:tcW w:w="850"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873" w:type="dxa"/>
            <w:vAlign w:val="top"/>
          </w:tcPr>
          <w:p>
            <w:pPr>
              <w:pStyle w:val="0"/>
              <w:spacing w:line="340" w:lineRule="exact"/>
              <w:jc w:val="center"/>
              <w:rPr>
                <w:rFonts w:hint="default" w:ascii="HG丸ｺﾞｼｯｸM-PRO" w:hAnsi="HG丸ｺﾞｼｯｸM-PRO" w:eastAsia="HG丸ｺﾞｼｯｸM-PRO"/>
              </w:rPr>
            </w:pP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移動式破砕機</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災害廃棄物の破砕</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運搬車両（パッカー車、平ボディ車、大型ダンプ、アームロール車等）</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災害廃棄物の搬入・搬出</w:t>
            </w:r>
          </w:p>
        </w:tc>
        <w:tc>
          <w:tcPr>
            <w:tcW w:w="850"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873" w:type="dxa"/>
            <w:vAlign w:val="top"/>
          </w:tcPr>
          <w:p>
            <w:pPr>
              <w:pStyle w:val="0"/>
              <w:spacing w:line="340" w:lineRule="exact"/>
              <w:jc w:val="center"/>
              <w:rPr>
                <w:rFonts w:hint="default" w:ascii="HG丸ｺﾞｼｯｸM-PRO" w:hAnsi="HG丸ｺﾞｼｯｸM-PRO" w:eastAsia="HG丸ｺﾞｼｯｸM-PRO"/>
              </w:rPr>
            </w:pPr>
          </w:p>
        </w:tc>
      </w:tr>
      <w:tr>
        <w:trPr/>
        <w:tc>
          <w:tcPr>
            <w:tcW w:w="433" w:type="dxa"/>
            <w:vMerge w:val="restart"/>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作業員</w:t>
            </w: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保護マスク、めがね、手袋、安全（長）靴、耳栓</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安全対策、アスベスト吸引防止</w:t>
            </w:r>
          </w:p>
        </w:tc>
        <w:tc>
          <w:tcPr>
            <w:tcW w:w="850"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873" w:type="dxa"/>
            <w:vAlign w:val="top"/>
          </w:tcPr>
          <w:p>
            <w:pPr>
              <w:pStyle w:val="0"/>
              <w:spacing w:line="340" w:lineRule="exact"/>
              <w:jc w:val="center"/>
              <w:rPr>
                <w:rFonts w:hint="default" w:ascii="HG丸ｺﾞｼｯｸM-PRO" w:hAnsi="HG丸ｺﾞｼｯｸM-PRO" w:eastAsia="HG丸ｺﾞｼｯｸM-PRO"/>
              </w:rPr>
            </w:pP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休憩小屋（プレハブ等）、仮設トイレ</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職員のための休憩スペース、トイレ</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クーラーボックス</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職員の休憩時の飲料水の保管</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restart"/>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管理</w:t>
            </w:r>
          </w:p>
        </w:tc>
        <w:tc>
          <w:tcPr>
            <w:tcW w:w="2977" w:type="dxa"/>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簡易計量器</w:t>
            </w:r>
          </w:p>
        </w:tc>
        <w:tc>
          <w:tcPr>
            <w:tcW w:w="4111"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災害廃棄物の搬入・搬出時の計量</w:t>
            </w:r>
          </w:p>
        </w:tc>
        <w:tc>
          <w:tcPr>
            <w:tcW w:w="850" w:type="dxa"/>
            <w:vAlign w:val="top"/>
          </w:tcPr>
          <w:p>
            <w:pPr>
              <w:pStyle w:val="0"/>
              <w:jc w:val="center"/>
              <w:rPr>
                <w:rFonts w:hint="default" w:ascii="HG丸ｺﾞｼｯｸM-PRO" w:hAnsi="HG丸ｺﾞｼｯｸM-PRO" w:eastAsia="HG丸ｺﾞｼｯｸM-PRO"/>
              </w:rPr>
            </w:pPr>
          </w:p>
        </w:tc>
        <w:tc>
          <w:tcPr>
            <w:tcW w:w="873"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シート</w:t>
            </w:r>
          </w:p>
        </w:tc>
        <w:tc>
          <w:tcPr>
            <w:tcW w:w="4111"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土壌汚染の防止、飛散防止</w:t>
            </w:r>
          </w:p>
        </w:tc>
        <w:tc>
          <w:tcPr>
            <w:tcW w:w="850" w:type="dxa"/>
            <w:vAlign w:val="top"/>
          </w:tcPr>
          <w:p>
            <w:pPr>
              <w:pStyle w:val="0"/>
              <w:jc w:val="center"/>
              <w:rPr>
                <w:rFonts w:hint="default" w:ascii="HG丸ｺﾞｼｯｸM-PRO" w:hAnsi="HG丸ｺﾞｼｯｸM-PRO" w:eastAsia="HG丸ｺﾞｼｯｸM-PRO"/>
              </w:rPr>
            </w:pPr>
          </w:p>
        </w:tc>
        <w:tc>
          <w:tcPr>
            <w:tcW w:w="873"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仮囲い</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飛散防止、保安対策、不法投棄・盗難防止、騒音低減、景観への配慮</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飛散防止ネット</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飛散防止</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防塵ネット</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粉じんの飛散防止</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タイヤ洗浄設備、散水設備・散水車</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粉じんの飛散防止</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発電機</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電灯や投光機、水噴霧のための電力確保、職員の休憩スペースにおける冷暖房の稼働用</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消臭剤</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臭気対策</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殺虫剤、防虫剤、殺鼠剤</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害虫対策、害獣対策</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放熱管、温度計、消火器、防火水槽</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火災発生防止（堆積物内部の放熱・温度・一酸化炭素濃度の測定）</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33" w:type="dxa"/>
            <w:vMerge w:val="continue"/>
            <w:shd w:val="clear" w:color="auto" w:fill="auto"/>
            <w:vAlign w:val="top"/>
          </w:tcPr>
          <w:p>
            <w:pPr>
              <w:pStyle w:val="0"/>
              <w:spacing w:line="340" w:lineRule="exact"/>
              <w:rPr>
                <w:rFonts w:hint="default" w:ascii="HG丸ｺﾞｼｯｸM-PRO" w:hAnsi="HG丸ｺﾞｼｯｸM-PRO" w:eastAsia="HG丸ｺﾞｼｯｸM-PRO"/>
              </w:rPr>
            </w:pPr>
          </w:p>
        </w:tc>
        <w:tc>
          <w:tcPr>
            <w:tcW w:w="2977" w:type="dxa"/>
            <w:shd w:val="clear" w:color="auto" w:fill="auto"/>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掃除用具</w:t>
            </w:r>
          </w:p>
        </w:tc>
        <w:tc>
          <w:tcPr>
            <w:tcW w:w="4111" w:type="dxa"/>
            <w:vAlign w:val="top"/>
          </w:tcPr>
          <w:p>
            <w:pPr>
              <w:pStyle w:val="0"/>
              <w:spacing w:line="3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仮置場その周辺の掃除（美観の保全）</w:t>
            </w:r>
          </w:p>
        </w:tc>
        <w:tc>
          <w:tcPr>
            <w:tcW w:w="850" w:type="dxa"/>
            <w:vAlign w:val="top"/>
          </w:tcPr>
          <w:p>
            <w:pPr>
              <w:pStyle w:val="0"/>
              <w:spacing w:line="340" w:lineRule="exact"/>
              <w:jc w:val="center"/>
              <w:rPr>
                <w:rFonts w:hint="default" w:ascii="HG丸ｺﾞｼｯｸM-PRO" w:hAnsi="HG丸ｺﾞｼｯｸM-PRO" w:eastAsia="HG丸ｺﾞｼｯｸM-PRO"/>
              </w:rPr>
            </w:pPr>
          </w:p>
        </w:tc>
        <w:tc>
          <w:tcPr>
            <w:tcW w:w="873" w:type="dxa"/>
            <w:vAlign w:val="top"/>
          </w:tcPr>
          <w:p>
            <w:pPr>
              <w:pStyle w:val="0"/>
              <w:spacing w:line="3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r>
        <w:rPr>
          <w:rFonts w:hint="eastAsia" w:ascii="HG丸ｺﾞｼｯｸM-PRO" w:hAnsi="HG丸ｺﾞｼｯｸM-PRO" w:eastAsia="HG丸ｺﾞｼｯｸM-PRO"/>
        </w:rPr>
        <w:t>【設置】</w:t>
      </w:r>
    </w:p>
    <w:tbl>
      <w:tblPr>
        <w:tblStyle w:val="11"/>
        <w:tblW w:w="9497" w:type="dxa"/>
        <w:tblInd w:w="250" w:type="dxa"/>
        <w:tblLayout w:type="fixed"/>
        <w:tblLook w:firstRow="1" w:lastRow="1" w:firstColumn="1" w:lastColumn="1" w:noHBand="0" w:noVBand="0" w:val="01E0"/>
      </w:tblPr>
      <w:tblGrid>
        <w:gridCol w:w="4959"/>
        <w:gridCol w:w="4538"/>
      </w:tblGrid>
      <w:tr>
        <w:trPr/>
        <w:tc>
          <w:tcPr>
            <w:tcW w:w="4959" w:type="dxa"/>
            <w:shd w:val="clear" w:color="auto" w:fill="auto"/>
            <w:vAlign w:val="top"/>
          </w:tcPr>
          <w:p>
            <w:pPr>
              <w:pStyle w:val="0"/>
              <w:spacing w:line="360" w:lineRule="exact"/>
              <w:ind w:left="178" w:leftChars="85"/>
              <w:rPr>
                <w:rFonts w:hint="default" w:ascii="HG丸ｺﾞｼｯｸM-PRO" w:hAnsi="HG丸ｺﾞｼｯｸM-PRO" w:eastAsia="HG丸ｺﾞｼｯｸM-PRO"/>
              </w:rPr>
            </w:pPr>
            <w:r>
              <w:rPr>
                <w:rFonts w:hint="eastAsia" w:ascii="HG丸ｺﾞｼｯｸM-PRO" w:hAnsi="HG丸ｺﾞｼｯｸM-PRO" w:eastAsia="HG丸ｺﾞｼｯｸM-PRO"/>
              </w:rPr>
              <w:t>・敷鉄板、砂利</w:t>
            </w:r>
          </w:p>
          <w:p>
            <w:pPr>
              <w:pStyle w:val="0"/>
              <w:spacing w:line="360" w:lineRule="exact"/>
              <w:ind w:left="178" w:leftChars="85"/>
              <w:rPr>
                <w:rFonts w:hint="default" w:ascii="HG丸ｺﾞｼｯｸM-PRO" w:hAnsi="HG丸ｺﾞｼｯｸM-PRO" w:eastAsia="HG丸ｺﾞｼｯｸM-PRO"/>
              </w:rPr>
            </w:pPr>
            <w:r>
              <w:rPr>
                <w:rFonts w:hint="eastAsia" w:ascii="HG丸ｺﾞｼｯｸM-PRO" w:hAnsi="HG丸ｺﾞｼｯｸM-PRO" w:eastAsia="HG丸ｺﾞｼｯｸM-PRO"/>
              </w:rPr>
              <w:t>　重機での作業や大型車両が走行できるよう、またぬかるみを防止するため、敷鉄板や砂利等を敷設する。</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568575" cy="1951990"/>
                  <wp:effectExtent l="0" t="0" r="0" b="0"/>
                  <wp:docPr id="1068" name="Picture 8"/>
                  <a:graphic xmlns:a="http://schemas.openxmlformats.org/drawingml/2006/main">
                    <a:graphicData uri="http://schemas.openxmlformats.org/drawingml/2006/picture">
                      <pic:pic xmlns:pic="http://schemas.openxmlformats.org/drawingml/2006/picture">
                        <pic:nvPicPr>
                          <pic:cNvPr id="1068" name="Picture 8"/>
                          <pic:cNvPicPr>
                            <a:picLocks noChangeAspect="1" noChangeArrowheads="1"/>
                          </pic:cNvPicPr>
                        </pic:nvPicPr>
                        <pic:blipFill>
                          <a:blip r:embed="rId50"/>
                          <a:stretch>
                            <a:fillRect/>
                          </a:stretch>
                        </pic:blipFill>
                        <pic:spPr>
                          <a:xfrm>
                            <a:off x="0" y="0"/>
                            <a:ext cx="2568575" cy="1951990"/>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・出入口ゲート、チェーン、南京錠</w:t>
            </w:r>
          </w:p>
          <w:p>
            <w:pPr>
              <w:pStyle w:val="0"/>
              <w:spacing w:line="360" w:lineRule="exac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保安対策（侵入防止）、不法投棄の防止、盗難防止を目的に、仮置場出入口にゲートを設け、人や車両の出入りを管理する。夜間はゲートを閉め施錠する。</w:t>
            </w:r>
          </w:p>
        </w:tc>
        <w:tc>
          <w:tcPr>
            <w:tcW w:w="4538" w:type="dxa"/>
            <w:shd w:val="clear" w:color="auto" w:fill="auto"/>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drawing>
                <wp:inline distT="0" distB="0" distL="0" distR="0">
                  <wp:extent cx="2548255" cy="1787525"/>
                  <wp:effectExtent l="0" t="0" r="0" b="0"/>
                  <wp:docPr id="1069" name="Picture 9"/>
                  <a:graphic xmlns:a="http://schemas.openxmlformats.org/drawingml/2006/main">
                    <a:graphicData uri="http://schemas.openxmlformats.org/drawingml/2006/picture">
                      <pic:pic xmlns:pic="http://schemas.openxmlformats.org/drawingml/2006/picture">
                        <pic:nvPicPr>
                          <pic:cNvPr id="1069" name="Picture 9"/>
                          <pic:cNvPicPr>
                            <a:picLocks noChangeAspect="1" noChangeArrowheads="1"/>
                          </pic:cNvPicPr>
                        </pic:nvPicPr>
                        <pic:blipFill>
                          <a:blip r:embed="rId51"/>
                          <a:stretch>
                            <a:fillRect/>
                          </a:stretch>
                        </pic:blipFill>
                        <pic:spPr>
                          <a:xfrm>
                            <a:off x="0" y="0"/>
                            <a:ext cx="2548255" cy="178752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p>
        </w:tc>
        <w:tc>
          <w:tcPr>
            <w:tcW w:w="4538" w:type="dxa"/>
            <w:shd w:val="clear" w:color="auto" w:fill="auto"/>
            <w:vAlign w:val="center"/>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・案内板、立て看板、場内配置図、告知看板</w:t>
            </w:r>
          </w:p>
          <w:p>
            <w:pPr>
              <w:pStyle w:val="0"/>
              <w:spacing w:line="360" w:lineRule="exac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default" w:ascii="HG丸ｺﾞｼｯｸM-PRO" w:hAnsi="HG丸ｺﾞｼｯｸM-PRO" w:eastAsia="HG丸ｺﾞｼｯｸM-PRO"/>
              </w:rPr>
              <w:t>　</w:t>
            </w:r>
            <w:r>
              <w:rPr>
                <w:rFonts w:hint="eastAsia" w:ascii="HG丸ｺﾞｼｯｸM-PRO" w:hAnsi="HG丸ｺﾞｼｯｸM-PRO" w:eastAsia="HG丸ｺﾞｼｯｸM-PRO"/>
              </w:rPr>
              <w:t>運搬車両の</w:t>
            </w:r>
            <w:r>
              <w:rPr>
                <w:rFonts w:hint="default" w:ascii="HG丸ｺﾞｼｯｸM-PRO" w:hAnsi="HG丸ｺﾞｼｯｸM-PRO" w:eastAsia="HG丸ｺﾞｼｯｸM-PRO"/>
              </w:rPr>
              <w:t>誘導</w:t>
            </w:r>
            <w:r>
              <w:rPr>
                <w:rFonts w:hint="eastAsia" w:ascii="HG丸ｺﾞｼｯｸM-PRO" w:hAnsi="HG丸ｺﾞｼｯｸM-PRO" w:eastAsia="HG丸ｺﾞｼｯｸM-PRO"/>
              </w:rPr>
              <w:t>、災害廃棄物の分別区分、場内の配置及びお知らせ、注意事項などを表示するため、案内板や立て看板、場内配置図、告知看板を設置する。</w:t>
            </w:r>
          </w:p>
        </w:tc>
        <w:tc>
          <w:tcPr>
            <w:tcW w:w="4538" w:type="dxa"/>
            <w:shd w:val="clear" w:color="auto" w:fill="auto"/>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661285" cy="1994535"/>
                  <wp:effectExtent l="0" t="0" r="0" b="0"/>
                  <wp:docPr id="1070" name="Picture 6"/>
                  <a:graphic xmlns:a="http://schemas.openxmlformats.org/drawingml/2006/main">
                    <a:graphicData uri="http://schemas.openxmlformats.org/drawingml/2006/picture">
                      <pic:pic xmlns:pic="http://schemas.openxmlformats.org/drawingml/2006/picture">
                        <pic:nvPicPr>
                          <pic:cNvPr id="1070" name="Picture 6"/>
                          <pic:cNvPicPr>
                            <a:picLocks noChangeAspect="1" noChangeArrowheads="1"/>
                          </pic:cNvPicPr>
                        </pic:nvPicPr>
                        <pic:blipFill>
                          <a:blip r:embed="rId52"/>
                          <a:stretch>
                            <a:fillRect/>
                          </a:stretch>
                        </pic:blipFill>
                        <pic:spPr>
                          <a:xfrm>
                            <a:off x="0" y="0"/>
                            <a:ext cx="2661285" cy="199453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・コーン標識、ロープ</w:t>
            </w:r>
          </w:p>
          <w:p>
            <w:pPr>
              <w:pStyle w:val="0"/>
              <w:spacing w:line="360" w:lineRule="exac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廃棄物を種類別に仮置きする区域及び車路等を示す。また仮置場での事故防止のため、重機の稼動範囲をコーンで囲うなど、立ち入り禁止区域を設けて、安全管理を徹底する。</w:t>
            </w:r>
          </w:p>
          <w:p>
            <w:pPr>
              <w:pStyle w:val="0"/>
              <w:spacing w:line="360" w:lineRule="exact"/>
              <w:ind w:left="210" w:hanging="210" w:hangingChars="100"/>
              <w:rPr>
                <w:rFonts w:hint="default" w:ascii="HG丸ｺﾞｼｯｸM-PRO" w:hAnsi="HG丸ｺﾞｼｯｸM-PRO" w:eastAsia="HG丸ｺﾞｼｯｸM-PRO"/>
              </w:rPr>
            </w:pPr>
          </w:p>
        </w:tc>
        <w:tc>
          <w:tcPr>
            <w:tcW w:w="4538" w:type="dxa"/>
            <w:shd w:val="clear" w:color="auto" w:fill="auto"/>
            <w:vAlign w:val="center"/>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・受付（受付用紙等の備品を含む）</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住民等が一次仮置場へ災害廃棄物を搬入する際に受け付けるための設備。簡易なテントを設置する場合や、スペースの状況によっては受付職員を配置するのみの場合もある。受付を効率的に行える形式とする。</w:t>
            </w:r>
          </w:p>
        </w:tc>
        <w:tc>
          <w:tcPr>
            <w:tcW w:w="4538" w:type="dxa"/>
            <w:shd w:val="clear" w:color="auto" w:fill="auto"/>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650490" cy="1983105"/>
                  <wp:effectExtent l="0" t="0" r="0" b="0"/>
                  <wp:docPr id="1071" name="Picture 10" descr="IMG_20170710_161538"/>
                  <a:graphic xmlns:a="http://schemas.openxmlformats.org/drawingml/2006/main">
                    <a:graphicData uri="http://schemas.openxmlformats.org/drawingml/2006/picture">
                      <pic:pic xmlns:pic="http://schemas.openxmlformats.org/drawingml/2006/picture">
                        <pic:nvPicPr>
                          <pic:cNvPr id="1071" name="Picture 10" descr="IMG_20170710_161538"/>
                          <pic:cNvPicPr>
                            <a:picLocks noChangeAspect="1" noChangeArrowheads="1"/>
                          </pic:cNvPicPr>
                        </pic:nvPicPr>
                        <pic:blipFill>
                          <a:blip r:embed="rId53"/>
                          <a:stretch>
                            <a:fillRect/>
                          </a:stretch>
                        </pic:blipFill>
                        <pic:spPr>
                          <a:xfrm>
                            <a:off x="0" y="0"/>
                            <a:ext cx="2650490" cy="1983105"/>
                          </a:xfrm>
                          <a:prstGeom prst="rect">
                            <a:avLst/>
                          </a:prstGeom>
                          <a:noFill/>
                          <a:ln>
                            <a:noFill/>
                          </a:ln>
                        </pic:spPr>
                      </pic:pic>
                    </a:graphicData>
                  </a:graphic>
                </wp:inline>
              </w:drawing>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【処理】</w:t>
      </w:r>
    </w:p>
    <w:tbl>
      <w:tblPr>
        <w:tblStyle w:val="11"/>
        <w:tblW w:w="9497" w:type="dxa"/>
        <w:tblInd w:w="250" w:type="dxa"/>
        <w:tblLayout w:type="fixed"/>
        <w:tblLook w:firstRow="1" w:lastRow="1" w:firstColumn="1" w:lastColumn="1" w:noHBand="0" w:noVBand="0" w:val="01E0"/>
      </w:tblPr>
      <w:tblGrid>
        <w:gridCol w:w="4959"/>
        <w:gridCol w:w="4538"/>
      </w:tblGrid>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・フォーク付のバックホウ等</w:t>
            </w:r>
          </w:p>
          <w:p>
            <w:pPr>
              <w:pStyle w:val="0"/>
              <w:spacing w:line="360" w:lineRule="exac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廃棄物の粗分別や粗破砕、積み上げ、搬出車両へ積み込み等を行う。</w:t>
            </w:r>
          </w:p>
          <w:p>
            <w:pPr>
              <w:pStyle w:val="0"/>
              <w:spacing w:line="360" w:lineRule="exact"/>
              <w:rPr>
                <w:rFonts w:hint="default" w:ascii="HG丸ｺﾞｼｯｸM-PRO" w:hAnsi="HG丸ｺﾞｼｯｸM-PRO" w:eastAsia="HG丸ｺﾞｼｯｸM-PRO"/>
              </w:rPr>
            </w:pPr>
          </w:p>
          <w:p>
            <w:pPr>
              <w:pStyle w:val="0"/>
              <w:spacing w:line="360" w:lineRule="exact"/>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kern w:val="0"/>
              </w:rPr>
              <w:drawing>
                <wp:inline distT="0" distB="0" distL="0" distR="0">
                  <wp:extent cx="2506980" cy="1880235"/>
                  <wp:effectExtent l="0" t="0" r="0" b="0"/>
                  <wp:docPr id="1072" name="Picture 11" descr="CIMG3347"/>
                  <a:graphic xmlns:a="http://schemas.openxmlformats.org/drawingml/2006/main">
                    <a:graphicData uri="http://schemas.openxmlformats.org/drawingml/2006/picture">
                      <pic:pic xmlns:pic="http://schemas.openxmlformats.org/drawingml/2006/picture">
                        <pic:nvPicPr>
                          <pic:cNvPr id="1072" name="Picture 11" descr="CIMG3347"/>
                          <pic:cNvPicPr>
                            <a:picLocks noChangeAspect="1" noChangeArrowheads="1"/>
                          </pic:cNvPicPr>
                        </pic:nvPicPr>
                        <pic:blipFill>
                          <a:blip r:embed="rId54"/>
                          <a:stretch>
                            <a:fillRect/>
                          </a:stretch>
                        </pic:blipFill>
                        <pic:spPr>
                          <a:xfrm>
                            <a:off x="0" y="0"/>
                            <a:ext cx="2506980" cy="188023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・移動式破砕機</w:t>
            </w:r>
          </w:p>
          <w:p>
            <w:pPr>
              <w:pStyle w:val="0"/>
              <w:spacing w:line="360" w:lineRule="exac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処理先の要望に応じて、木くずやコンクリートがら等を一定の大きさに破砕する。一次仮置場に設置したほうが効率的・処理しやすい場合等、必要に応じて設置する。</w:t>
            </w:r>
          </w:p>
          <w:p>
            <w:pPr>
              <w:pStyle w:val="0"/>
              <w:spacing w:line="360" w:lineRule="exact"/>
              <w:ind w:left="210" w:hanging="210" w:hangingChars="100"/>
              <w:rPr>
                <w:rFonts w:hint="default" w:ascii="HG丸ｺﾞｼｯｸM-PRO" w:hAnsi="HG丸ｺﾞｼｯｸM-PRO" w:eastAsia="HG丸ｺﾞｼｯｸM-PRO"/>
              </w:rPr>
            </w:pPr>
          </w:p>
          <w:p>
            <w:pPr>
              <w:pStyle w:val="0"/>
              <w:spacing w:line="360" w:lineRule="exact"/>
              <w:ind w:left="210" w:hanging="210" w:hanging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537460" cy="1910715"/>
                  <wp:effectExtent l="0" t="0" r="0" b="0"/>
                  <wp:docPr id="1073" name="Picture 12" descr="DSCN1142"/>
                  <a:graphic xmlns:a="http://schemas.openxmlformats.org/drawingml/2006/main">
                    <a:graphicData uri="http://schemas.openxmlformats.org/drawingml/2006/picture">
                      <pic:pic xmlns:pic="http://schemas.openxmlformats.org/drawingml/2006/picture">
                        <pic:nvPicPr>
                          <pic:cNvPr id="1073" name="Picture 12" descr="DSCN1142"/>
                          <pic:cNvPicPr>
                            <a:picLocks noChangeAspect="1" noChangeArrowheads="1"/>
                          </pic:cNvPicPr>
                        </pic:nvPicPr>
                        <pic:blipFill>
                          <a:blip r:embed="rId55"/>
                          <a:stretch>
                            <a:fillRect/>
                          </a:stretch>
                        </pic:blipFill>
                        <pic:spPr>
                          <a:xfrm>
                            <a:off x="0" y="0"/>
                            <a:ext cx="2537460" cy="1910715"/>
                          </a:xfrm>
                          <a:prstGeom prst="rect">
                            <a:avLst/>
                          </a:prstGeom>
                          <a:noFill/>
                          <a:ln>
                            <a:noFill/>
                          </a:ln>
                        </pic:spPr>
                      </pic:pic>
                    </a:graphicData>
                  </a:graphic>
                </wp:inline>
              </w:drawing>
            </w:r>
          </w:p>
        </w:tc>
      </w:tr>
      <w:tr>
        <w:trPr/>
        <w:tc>
          <w:tcPr>
            <w:tcW w:w="4959" w:type="dxa"/>
            <w:shd w:val="clear" w:color="auto" w:fill="auto"/>
            <w:vAlign w:val="top"/>
          </w:tcPr>
          <w:p>
            <w:pPr>
              <w:pStyle w:val="0"/>
              <w:ind w:left="210" w:hanging="210" w:hanging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・運搬車両</w:t>
            </w:r>
          </w:p>
          <w:p>
            <w:pPr>
              <w:pStyle w:val="0"/>
              <w:spacing w:line="360" w:lineRule="exact"/>
              <w:ind w:left="420" w:leftChars="1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（パッカー車、平ボディ車、大型ダンプ、アームロール車等）</w:t>
            </w:r>
          </w:p>
          <w:p>
            <w:pPr>
              <w:pStyle w:val="0"/>
              <w:spacing w:line="360" w:lineRule="exact"/>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仮置場へ災害廃棄物を搬入する。</w:t>
            </w:r>
          </w:p>
          <w:p>
            <w:pPr>
              <w:pStyle w:val="0"/>
              <w:spacing w:line="360" w:lineRule="exact"/>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処理先へ災害廃棄物を搬出する。</w:t>
            </w:r>
          </w:p>
          <w:p>
            <w:pPr>
              <w:pStyle w:val="0"/>
              <w:spacing w:line="360" w:lineRule="exact"/>
              <w:ind w:left="420" w:leftChars="200"/>
              <w:rPr>
                <w:rFonts w:hint="default" w:ascii="HG丸ｺﾞｼｯｸM-PRO" w:hAnsi="HG丸ｺﾞｼｯｸM-PRO" w:eastAsia="HG丸ｺﾞｼｯｸM-PRO"/>
                <w:b w:val="1"/>
              </w:rPr>
            </w:pPr>
            <w:r>
              <w:rPr>
                <w:rFonts w:hint="eastAsia" w:ascii="HG丸ｺﾞｼｯｸM-PRO" w:hAnsi="HG丸ｺﾞｼｯｸM-PRO" w:eastAsia="HG丸ｺﾞｼｯｸM-PRO"/>
              </w:rPr>
              <w:t>アームロール車</w:t>
            </w:r>
            <w:r>
              <w:rPr>
                <w:rFonts w:hint="default" w:ascii="HG丸ｺﾞｼｯｸM-PRO" w:hAnsi="HG丸ｺﾞｼｯｸM-PRO" w:eastAsia="HG丸ｺﾞｼｯｸM-PRO"/>
              </w:rPr>
              <w:t>は</w:t>
            </w:r>
            <w:r>
              <w:rPr>
                <w:rFonts w:hint="eastAsia" w:ascii="HG丸ｺﾞｼｯｸM-PRO" w:hAnsi="HG丸ｺﾞｼｯｸM-PRO" w:eastAsia="HG丸ｺﾞｼｯｸM-PRO"/>
              </w:rPr>
              <w:t>荷台を</w:t>
            </w:r>
            <w:r>
              <w:rPr>
                <w:rFonts w:hint="default" w:ascii="HG丸ｺﾞｼｯｸM-PRO" w:hAnsi="HG丸ｺﾞｼｯｸM-PRO" w:eastAsia="HG丸ｺﾞｼｯｸM-PRO"/>
              </w:rPr>
              <w:t>コンテナ</w:t>
            </w:r>
            <w:r>
              <w:rPr>
                <w:rFonts w:hint="eastAsia" w:ascii="HG丸ｺﾞｼｯｸM-PRO" w:hAnsi="HG丸ｺﾞｼｯｸM-PRO" w:eastAsia="HG丸ｺﾞｼｯｸM-PRO"/>
              </w:rPr>
              <w:t>替わりに</w:t>
            </w:r>
            <w:r>
              <w:rPr>
                <w:rFonts w:hint="default" w:ascii="HG丸ｺﾞｼｯｸM-PRO" w:hAnsi="HG丸ｺﾞｼｯｸM-PRO" w:eastAsia="HG丸ｺﾞｼｯｸM-PRO"/>
              </w:rPr>
              <w:t>使うことも可能である</w:t>
            </w:r>
            <w:r>
              <w:rPr>
                <w:rFonts w:hint="eastAsia" w:ascii="HG丸ｺﾞｼｯｸM-PRO" w:hAnsi="HG丸ｺﾞｼｯｸM-PRO" w:eastAsia="HG丸ｺﾞｼｯｸM-PRO"/>
              </w:rPr>
              <w:t>。</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558415" cy="1684655"/>
                  <wp:effectExtent l="0" t="0" r="0" b="0"/>
                  <wp:docPr id="1074" name="Picture 13" descr="C:\Users\jyakkoturi\PDE\Desktop\ダンプ比重写真\100RICOH\RIMG0001.JPG"/>
                  <a:graphic xmlns:a="http://schemas.openxmlformats.org/drawingml/2006/main">
                    <a:graphicData uri="http://schemas.openxmlformats.org/drawingml/2006/picture">
                      <pic:pic xmlns:pic="http://schemas.openxmlformats.org/drawingml/2006/picture">
                        <pic:nvPicPr>
                          <pic:cNvPr id="1074" name="Picture 13" descr="C:\Users\jyakkoturi\PDE\Desktop\ダンプ比重写真\100RICOH\RIMG0001.JPG"/>
                          <pic:cNvPicPr>
                            <a:picLocks noChangeAspect="1" noChangeArrowheads="1"/>
                          </pic:cNvPicPr>
                        </pic:nvPicPr>
                        <pic:blipFill>
                          <a:blip r:embed="rId56"/>
                          <a:srcRect b="18410"/>
                          <a:stretch>
                            <a:fillRect/>
                          </a:stretch>
                        </pic:blipFill>
                        <pic:spPr>
                          <a:xfrm>
                            <a:off x="0" y="0"/>
                            <a:ext cx="2558415" cy="1684655"/>
                          </a:xfrm>
                          <a:prstGeom prst="rect">
                            <a:avLst/>
                          </a:prstGeom>
                          <a:noFill/>
                          <a:ln>
                            <a:noFill/>
                          </a:ln>
                        </pic:spPr>
                      </pic:pic>
                    </a:graphicData>
                  </a:graphic>
                </wp:inline>
              </w:drawing>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【作業員】</w:t>
      </w:r>
    </w:p>
    <w:tbl>
      <w:tblPr>
        <w:tblStyle w:val="11"/>
        <w:tblW w:w="9497" w:type="dxa"/>
        <w:tblInd w:w="250" w:type="dxa"/>
        <w:tblLayout w:type="fixed"/>
        <w:tblLook w:firstRow="1" w:lastRow="1" w:firstColumn="1" w:lastColumn="1" w:noHBand="0" w:noVBand="0" w:val="01E0"/>
      </w:tblPr>
      <w:tblGrid>
        <w:gridCol w:w="4959"/>
        <w:gridCol w:w="4538"/>
      </w:tblGrid>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・保護マスク、めがね、手袋、安全（長）靴、</w:t>
            </w:r>
          </w:p>
          <w:p>
            <w:pPr>
              <w:pStyle w:val="0"/>
              <w:spacing w:line="360" w:lineRule="exact"/>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耳栓</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仮置場の作業員は、アスベスト吸引防止のための保護マスク（国家検定</w:t>
            </w:r>
            <w:r>
              <w:rPr>
                <w:rFonts w:hint="default" w:ascii="HG丸ｺﾞｼｯｸM-PRO" w:hAnsi="HG丸ｺﾞｼｯｸM-PRO" w:eastAsia="HG丸ｺﾞｼｯｸM-PRO"/>
              </w:rPr>
              <w:t>合格品</w:t>
            </w:r>
            <w:r>
              <w:rPr>
                <w:rFonts w:hint="eastAsia" w:ascii="HG丸ｺﾞｼｯｸM-PRO" w:hAnsi="HG丸ｺﾞｼｯｸM-PRO" w:eastAsia="HG丸ｺﾞｼｯｸM-PRO"/>
              </w:rPr>
              <w:t>）や、安全対策（有害廃棄物、危険物対策、騒音対策）としてめがね、手袋、安全（長）靴（踏み抜き防止）、耳栓（必要に応じて）を装着して作業を行う。</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537460" cy="1233170"/>
                  <wp:effectExtent l="0" t="0" r="0" b="0"/>
                  <wp:docPr id="1075" name="Picture 14"/>
                  <a:graphic xmlns:a="http://schemas.openxmlformats.org/drawingml/2006/main">
                    <a:graphicData uri="http://schemas.openxmlformats.org/drawingml/2006/picture">
                      <pic:pic xmlns:pic="http://schemas.openxmlformats.org/drawingml/2006/picture">
                        <pic:nvPicPr>
                          <pic:cNvPr id="1075" name="Picture 14"/>
                          <pic:cNvPicPr>
                            <a:picLocks noChangeAspect="1" noChangeArrowheads="1"/>
                          </pic:cNvPicPr>
                        </pic:nvPicPr>
                        <pic:blipFill>
                          <a:blip r:embed="rId57"/>
                          <a:stretch>
                            <a:fillRect/>
                          </a:stretch>
                        </pic:blipFill>
                        <pic:spPr>
                          <a:xfrm>
                            <a:off x="0" y="0"/>
                            <a:ext cx="2537460" cy="1233170"/>
                          </a:xfrm>
                          <a:prstGeom prst="rect">
                            <a:avLst/>
                          </a:prstGeom>
                          <a:noFill/>
                          <a:ln>
                            <a:noFill/>
                          </a:ln>
                        </pic:spPr>
                      </pic:pic>
                    </a:graphicData>
                  </a:graphic>
                </wp:inline>
              </w:drawing>
            </w:r>
          </w:p>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04925" cy="1304925"/>
                  <wp:effectExtent l="0" t="0" r="0" b="0"/>
                  <wp:docPr id="1076" name="Picture 15"/>
                  <a:graphic xmlns:a="http://schemas.openxmlformats.org/drawingml/2006/main">
                    <a:graphicData uri="http://schemas.openxmlformats.org/drawingml/2006/picture">
                      <pic:pic xmlns:pic="http://schemas.openxmlformats.org/drawingml/2006/picture">
                        <pic:nvPicPr>
                          <pic:cNvPr id="1076" name="Picture 15"/>
                          <pic:cNvPicPr>
                            <a:picLocks noChangeAspect="1" noChangeArrowheads="1"/>
                          </pic:cNvPicPr>
                        </pic:nvPicPr>
                        <pic:blipFill>
                          <a:blip r:embed="rId58"/>
                          <a:stretch>
                            <a:fillRect/>
                          </a:stretch>
                        </pic:blipFill>
                        <pic:spPr>
                          <a:xfrm>
                            <a:off x="0" y="0"/>
                            <a:ext cx="1304925" cy="1304925"/>
                          </a:xfrm>
                          <a:prstGeom prst="rect">
                            <a:avLst/>
                          </a:prstGeom>
                          <a:noFill/>
                          <a:ln>
                            <a:noFill/>
                          </a:ln>
                        </pic:spPr>
                      </pic:pic>
                    </a:graphicData>
                  </a:graphic>
                </wp:inline>
              </w:drawing>
            </w:r>
            <w:r>
              <w:rPr>
                <w:rFonts w:hint="default" w:ascii="HG丸ｺﾞｼｯｸM-PRO" w:hAnsi="HG丸ｺﾞｼｯｸM-PRO" w:eastAsia="HG丸ｺﾞｼｯｸM-PRO"/>
              </w:rPr>
              <w:drawing>
                <wp:inline distT="0" distB="0" distL="0" distR="0">
                  <wp:extent cx="1315085" cy="1315085"/>
                  <wp:effectExtent l="0" t="0" r="0" b="0"/>
                  <wp:docPr id="1077" name="Picture 16"/>
                  <a:graphic xmlns:a="http://schemas.openxmlformats.org/drawingml/2006/main">
                    <a:graphicData uri="http://schemas.openxmlformats.org/drawingml/2006/picture">
                      <pic:pic xmlns:pic="http://schemas.openxmlformats.org/drawingml/2006/picture">
                        <pic:nvPicPr>
                          <pic:cNvPr id="1077" name="Picture 16"/>
                          <pic:cNvPicPr>
                            <a:picLocks noChangeAspect="1" noChangeArrowheads="1"/>
                          </pic:cNvPicPr>
                        </pic:nvPicPr>
                        <pic:blipFill>
                          <a:blip r:embed="rId59"/>
                          <a:stretch>
                            <a:fillRect/>
                          </a:stretch>
                        </pic:blipFill>
                        <pic:spPr>
                          <a:xfrm>
                            <a:off x="0" y="0"/>
                            <a:ext cx="1315085" cy="131508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・休憩小屋（プレハブ等）、仮設トイレ</w:t>
            </w:r>
          </w:p>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　一次仮置場へ配置された職員や作業員が昼食をとったり休憩するためのスペース。一次仮置場の近傍にトイレがない場合は、仮設トイレを設置する必要がある。仮置場の規模等を勘案し、必要に応じて設置する。</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517140" cy="1890395"/>
                  <wp:effectExtent l="0" t="0" r="0" b="0"/>
                  <wp:docPr id="1078" name="図 20"/>
                  <a:graphic xmlns:a="http://schemas.openxmlformats.org/drawingml/2006/main">
                    <a:graphicData uri="http://schemas.openxmlformats.org/drawingml/2006/picture">
                      <pic:pic xmlns:pic="http://schemas.openxmlformats.org/drawingml/2006/picture">
                        <pic:nvPicPr>
                          <pic:cNvPr id="1078" name="図 20"/>
                          <pic:cNvPicPr>
                            <a:picLocks noChangeAspect="1" noChangeArrowheads="1"/>
                          </pic:cNvPicPr>
                        </pic:nvPicPr>
                        <pic:blipFill>
                          <a:blip r:embed="rId60"/>
                          <a:stretch>
                            <a:fillRect/>
                          </a:stretch>
                        </pic:blipFill>
                        <pic:spPr>
                          <a:xfrm>
                            <a:off x="0" y="0"/>
                            <a:ext cx="2517140" cy="189039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・クーラーボックス</w:t>
            </w:r>
          </w:p>
          <w:p>
            <w:pPr>
              <w:pStyle w:val="0"/>
              <w:spacing w:line="360" w:lineRule="exac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休憩時の飲料水を保管するため、必要に応じて準備する。</w:t>
            </w: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【管理】</w:t>
      </w:r>
    </w:p>
    <w:tbl>
      <w:tblPr>
        <w:tblStyle w:val="11"/>
        <w:tblW w:w="9497" w:type="dxa"/>
        <w:tblInd w:w="250" w:type="dxa"/>
        <w:tblLayout w:type="fixed"/>
        <w:tblLook w:firstRow="1" w:lastRow="1" w:firstColumn="1" w:lastColumn="1" w:noHBand="0" w:noVBand="0" w:val="01E0"/>
      </w:tblPr>
      <w:tblGrid>
        <w:gridCol w:w="4959"/>
        <w:gridCol w:w="4538"/>
      </w:tblGrid>
      <w:tr>
        <w:trPr/>
        <w:tc>
          <w:tcPr>
            <w:tcW w:w="4959" w:type="dxa"/>
            <w:shd w:val="clear" w:color="auto" w:fill="auto"/>
            <w:vAlign w:val="top"/>
          </w:tcPr>
          <w:p>
            <w:pPr>
              <w:pStyle w:val="0"/>
              <w:spacing w:line="36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・簡易計量器</w:t>
            </w:r>
          </w:p>
          <w:p>
            <w:pPr>
              <w:pStyle w:val="0"/>
              <w:spacing w:line="360" w:lineRule="exact"/>
              <w:ind w:left="178" w:leftChars="85"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災害廃棄物の受入、選別後物の搬出時に計量を行うための設備。一次仮置場に設置したほうが管理しやすい場合等、必要に応じて設置する。</w:t>
            </w:r>
          </w:p>
          <w:p>
            <w:pPr>
              <w:pStyle w:val="0"/>
              <w:spacing w:line="360" w:lineRule="exact"/>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anchor distT="0" distB="0" distL="114300" distR="114300" simplePos="0" relativeHeight="4294967208" behindDoc="0" locked="0" layoutInCell="1" hidden="0" allowOverlap="1">
                      <wp:simplePos x="0" y="0"/>
                      <wp:positionH relativeFrom="column">
                        <wp:posOffset>1231265</wp:posOffset>
                      </wp:positionH>
                      <wp:positionV relativeFrom="paragraph">
                        <wp:posOffset>1203325</wp:posOffset>
                      </wp:positionV>
                      <wp:extent cx="197485" cy="276225"/>
                      <wp:effectExtent l="19685" t="19685" r="29845" b="20320"/>
                      <wp:wrapNone/>
                      <wp:docPr id="1079" name="直線矢印コネクタ 1136"/>
                      <a:graphic xmlns:a="http://schemas.openxmlformats.org/drawingml/2006/main">
                        <a:graphicData uri="http://schemas.microsoft.com/office/word/2010/wordprocessingShape">
                          <wps:wsp>
                            <wps:cNvPr id="1079" name="直線矢印コネクタ 1136"/>
                            <wps:cNvCnPr/>
                            <wps:spPr>
                              <a:xfrm flipH="1" flipV="1">
                                <a:off x="0" y="0"/>
                                <a:ext cx="197485" cy="276225"/>
                              </a:xfrm>
                              <a:prstGeom prst="straightConnector1">
                                <a:avLst/>
                              </a:prstGeom>
                              <a:noFill/>
                              <a:ln w="28575">
                                <a:solidFill>
                                  <a:srgbClr val="000000"/>
                                </a:solidFill>
                                <a:round/>
                                <a:headEnd/>
                                <a:tailEnd type="triangle" w="med" len="me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136" style="flip:x y;mso-wrap-distance-right:9pt;mso-wrap-distance-bottom:0pt;margin-top:94.75pt;mso-position-vertical-relative:text;mso-position-horizontal-relative:text;position:absolute;height:21.75pt;mso-wrap-distance-top:0pt;width:15.55pt;mso-wrap-distance-left:9pt;margin-left:96.95pt;z-index:-88;" o:spid="_x0000_s1079" o:allowincell="t" o:allowoverlap="t" filled="f" stroked="t" strokecolor="#000000" strokeweight="2.25pt" o:spt="32" type="#_x0000_t32">
                      <v:fill/>
                      <v:stroke filltype="solid" endarrow="block" endarrowwidth="medium" endarrowlength="medium"/>
                      <v:imagedata o:title=""/>
                      <w10:wrap type="none" anchorx="text" anchory="text"/>
                    </v:shape>
                  </w:pict>
                </mc:Fallback>
              </mc:AlternateContent>
            </w:r>
            <w:r>
              <w:rPr>
                <w:rFonts w:hint="default" w:ascii="HG丸ｺﾞｼｯｸM-PRO" w:hAnsi="HG丸ｺﾞｼｯｸM-PRO" w:eastAsia="HG丸ｺﾞｼｯｸM-PRO"/>
              </w:rPr>
              <mc:AlternateContent>
                <mc:Choice Requires="wps">
                  <w:drawing>
                    <wp:anchor distT="0" distB="0" distL="114300" distR="114300" simplePos="0" relativeHeight="4294967208" behindDoc="0" locked="0" layoutInCell="1" hidden="0" allowOverlap="1">
                      <wp:simplePos x="0" y="0"/>
                      <wp:positionH relativeFrom="column">
                        <wp:posOffset>1428750</wp:posOffset>
                      </wp:positionH>
                      <wp:positionV relativeFrom="paragraph">
                        <wp:posOffset>1479550</wp:posOffset>
                      </wp:positionV>
                      <wp:extent cx="878840" cy="310515"/>
                      <wp:effectExtent l="635" t="635" r="29845" b="10795"/>
                      <wp:wrapNone/>
                      <wp:docPr id="1080" name="正方形/長方形 1135"/>
                      <a:graphic xmlns:a="http://schemas.openxmlformats.org/drawingml/2006/main">
                        <a:graphicData uri="http://schemas.microsoft.com/office/word/2010/wordprocessingShape">
                          <wps:wsp>
                            <wps:cNvPr id="1080" name="正方形/長方形 1135"/>
                            <wps:cNvSpPr>
                              <a:spLocks noChangeArrowheads="1"/>
                            </wps:cNvSpPr>
                            <wps:spPr>
                              <a:xfrm>
                                <a:off x="0" y="0"/>
                                <a:ext cx="878840" cy="310515"/>
                              </a:xfrm>
                              <a:prstGeom prst="rect">
                                <a:avLst/>
                              </a:prstGeom>
                              <a:solidFill>
                                <a:srgbClr val="FFFFFF"/>
                              </a:solidFill>
                              <a:ln w="9525" algn="ctr">
                                <a:solidFill>
                                  <a:srgbClr val="000000"/>
                                </a:solidFill>
                                <a:miter lim="800000"/>
                                <a:headEnd/>
                                <a:tailEnd/>
                              </a:ln>
                              <a:effectLst/>
                            </wps:spPr>
                            <wps:txbx>
                              <w:txbxContent>
                                <w:p>
                                  <w:pPr>
                                    <w:pStyle w:val="0"/>
                                    <w:rPr>
                                      <w:rFonts w:hint="default"/>
                                    </w:rPr>
                                  </w:pPr>
                                  <w:r>
                                    <w:rPr>
                                      <w:rFonts w:hint="eastAsia"/>
                                    </w:rPr>
                                    <w:t>簡易計量器</w:t>
                                  </w:r>
                                </w:p>
                              </w:txbxContent>
                            </wps:txbx>
                            <wps:bodyPr rot="0" vertOverflow="overflow" horzOverflow="overflow" wrap="square" anchor="t" anchorCtr="0" upright="1"/>
                          </wps:wsp>
                        </a:graphicData>
                      </a:graphic>
                    </wp:anchor>
                  </w:drawing>
                </mc:Choice>
                <mc:Fallback>
                  <w:pict>
                    <v:rect id="正方形/長方形 1135" style="mso-wrap-distance-right:9pt;mso-wrap-distance-bottom:0pt;margin-top:116.5pt;mso-position-vertical-relative:text;mso-position-horizontal-relative:text;v-text-anchor:top;position:absolute;height:24.45pt;mso-wrap-distance-top:0pt;width:69.2pt;mso-wrap-distance-left:9pt;margin-left:112.5pt;z-index:-88;" o:spid="_x0000_s1080" o:allowincell="t" o:allowoverlap="t" filled="t" fillcolor="#ffffff" stroked="t" strokecolor="#000000" strokeweight="0.75pt" o:spt="1">
                      <v:fill/>
                      <v:stroke miterlimit="8" filltype="solid"/>
                      <v:textbox style="layout-flow:horizontal;">
                        <w:txbxContent>
                          <w:p>
                            <w:pPr>
                              <w:pStyle w:val="0"/>
                              <w:rPr>
                                <w:rFonts w:hint="default"/>
                              </w:rPr>
                            </w:pPr>
                            <w:r>
                              <w:rPr>
                                <w:rFonts w:hint="eastAsia"/>
                              </w:rPr>
                              <w:t>簡易計量器</w:t>
                            </w:r>
                          </w:p>
                        </w:txbxContent>
                      </v:textbox>
                      <v:imagedata o:title=""/>
                      <w10:wrap type="none" anchorx="text" anchory="text"/>
                    </v:rect>
                  </w:pict>
                </mc:Fallback>
              </mc:AlternateContent>
            </w:r>
            <w:r>
              <w:rPr>
                <w:rFonts w:hint="default" w:ascii="HG丸ｺﾞｼｯｸM-PRO" w:hAnsi="HG丸ｺﾞｼｯｸM-PRO" w:eastAsia="HG丸ｺﾞｼｯｸM-PRO"/>
              </w:rPr>
              <w:drawing>
                <wp:inline distT="0" distB="0" distL="0" distR="0">
                  <wp:extent cx="2548255" cy="1910715"/>
                  <wp:effectExtent l="0" t="0" r="0" b="0"/>
                  <wp:docPr id="1081" name="Picture 18" descr="トラックスケール測定状況②"/>
                  <a:graphic xmlns:a="http://schemas.openxmlformats.org/drawingml/2006/main">
                    <a:graphicData uri="http://schemas.openxmlformats.org/drawingml/2006/picture">
                      <pic:pic xmlns:pic="http://schemas.openxmlformats.org/drawingml/2006/picture">
                        <pic:nvPicPr>
                          <pic:cNvPr id="1081" name="Picture 18" descr="トラックスケール測定状況②"/>
                          <pic:cNvPicPr>
                            <a:picLocks noChangeAspect="1" noChangeArrowheads="1"/>
                          </pic:cNvPicPr>
                        </pic:nvPicPr>
                        <pic:blipFill>
                          <a:blip r:embed="rId61"/>
                          <a:stretch>
                            <a:fillRect/>
                          </a:stretch>
                        </pic:blipFill>
                        <pic:spPr>
                          <a:xfrm>
                            <a:off x="0" y="0"/>
                            <a:ext cx="2548255" cy="191071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ind w:firstLine="210" w:firstLine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・シート</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有害廃棄物や危険物等の保管場所の土壌汚染を防止するため、シートを設置してから廃棄物を仮置きする。また、降雨により内容物が漏出する懸念があるものについては、ブルーシート等で覆う（可能ならば倉庫等に収容）等の対策を行う。また強風等による飛散防止にも活用できる。</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578735" cy="1941830"/>
                  <wp:effectExtent l="0" t="0" r="0" b="0"/>
                  <wp:docPr id="1082" name="図 23"/>
                  <a:graphic xmlns:a="http://schemas.openxmlformats.org/drawingml/2006/main">
                    <a:graphicData uri="http://schemas.openxmlformats.org/drawingml/2006/picture">
                      <pic:pic xmlns:pic="http://schemas.openxmlformats.org/drawingml/2006/picture">
                        <pic:nvPicPr>
                          <pic:cNvPr id="1082" name="図 23"/>
                          <pic:cNvPicPr>
                            <a:picLocks noChangeAspect="1" noChangeArrowheads="1"/>
                          </pic:cNvPicPr>
                        </pic:nvPicPr>
                        <pic:blipFill>
                          <a:blip r:embed="rId62"/>
                          <a:stretch>
                            <a:fillRect/>
                          </a:stretch>
                        </pic:blipFill>
                        <pic:spPr>
                          <a:xfrm>
                            <a:off x="0" y="0"/>
                            <a:ext cx="2578735" cy="1941830"/>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ind w:firstLine="210" w:firstLine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・仮囲い</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廃棄物の飛散防止や保安対策（外部からの侵入防止）、不法投棄や盗難防止のため、敷地の周囲に設置する。必要に応じて、仮囲い上部に防塵ネットを設置する。人家等に近接する場合には、騒音</w:t>
            </w:r>
            <w:r>
              <w:rPr>
                <w:rFonts w:hint="default" w:ascii="HG丸ｺﾞｼｯｸM-PRO" w:hAnsi="HG丸ｺﾞｼｯｸM-PRO" w:eastAsia="HG丸ｺﾞｼｯｸM-PRO"/>
              </w:rPr>
              <w:t>の低減や</w:t>
            </w:r>
            <w:r>
              <w:rPr>
                <w:rFonts w:hint="eastAsia" w:ascii="HG丸ｺﾞｼｯｸM-PRO" w:hAnsi="HG丸ｺﾞｼｯｸM-PRO" w:eastAsia="HG丸ｺﾞｼｯｸM-PRO"/>
              </w:rPr>
              <w:t>景観に配慮する。</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sz w:val="16"/>
              </w:rPr>
              <w:drawing>
                <wp:inline distT="0" distB="0" distL="0" distR="0">
                  <wp:extent cx="2249805" cy="1479550"/>
                  <wp:effectExtent l="0" t="0" r="0" b="0"/>
                  <wp:docPr id="1083" name="図 7192"/>
                  <a:graphic xmlns:a="http://schemas.openxmlformats.org/drawingml/2006/main">
                    <a:graphicData uri="http://schemas.openxmlformats.org/drawingml/2006/picture">
                      <pic:pic xmlns:pic="http://schemas.openxmlformats.org/drawingml/2006/picture">
                        <pic:nvPicPr>
                          <pic:cNvPr id="1083" name="図 7192"/>
                          <pic:cNvPicPr>
                            <a:picLocks noChangeAspect="1" noChangeArrowheads="1"/>
                          </pic:cNvPicPr>
                        </pic:nvPicPr>
                        <pic:blipFill>
                          <a:blip r:embed="rId63"/>
                          <a:srcRect t="725" b="11671"/>
                          <a:stretch>
                            <a:fillRect/>
                          </a:stretch>
                        </pic:blipFill>
                        <pic:spPr>
                          <a:xfrm>
                            <a:off x="0" y="0"/>
                            <a:ext cx="2249805" cy="1479550"/>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ind w:firstLine="210" w:firstLine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sz w:val="16"/>
              </w:rPr>
            </w:pP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・飛散防止ネット</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廃棄物の飛散防止を目的に設置する。</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sz w:val="16"/>
              </w:rPr>
              <w:drawing>
                <wp:inline distT="0" distB="0" distL="0" distR="0">
                  <wp:extent cx="2609850" cy="1705610"/>
                  <wp:effectExtent l="0" t="0" r="0" b="0"/>
                  <wp:docPr id="1084" name="図 7191"/>
                  <a:graphic xmlns:a="http://schemas.openxmlformats.org/drawingml/2006/main">
                    <a:graphicData uri="http://schemas.openxmlformats.org/drawingml/2006/picture">
                      <pic:pic xmlns:pic="http://schemas.openxmlformats.org/drawingml/2006/picture">
                        <pic:nvPicPr>
                          <pic:cNvPr id="1084" name="図 7191"/>
                          <pic:cNvPicPr>
                            <a:picLocks noChangeAspect="1" noChangeArrowheads="1"/>
                          </pic:cNvPicPr>
                        </pic:nvPicPr>
                        <pic:blipFill>
                          <a:blip r:embed="rId64"/>
                          <a:srcRect t="11520" b="2106"/>
                          <a:stretch>
                            <a:fillRect/>
                          </a:stretch>
                        </pic:blipFill>
                        <pic:spPr>
                          <a:xfrm>
                            <a:off x="0" y="0"/>
                            <a:ext cx="2609850" cy="1705610"/>
                          </a:xfrm>
                          <a:prstGeom prst="rect">
                            <a:avLst/>
                          </a:prstGeom>
                          <a:noFill/>
                          <a:ln>
                            <a:noFill/>
                          </a:ln>
                        </pic:spPr>
                      </pic:pic>
                    </a:graphicData>
                  </a:graphic>
                </wp:inline>
              </w:drawing>
            </w:r>
          </w:p>
        </w:tc>
      </w:tr>
      <w:tr>
        <w:trPr/>
        <w:tc>
          <w:tcPr>
            <w:tcW w:w="4959" w:type="dxa"/>
            <w:shd w:val="clear" w:color="auto" w:fill="auto"/>
            <w:vAlign w:val="top"/>
          </w:tcPr>
          <w:p>
            <w:pPr>
              <w:pStyle w:val="0"/>
              <w:ind w:left="210" w:hanging="210" w:hanging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b w:val="1"/>
              </w:rPr>
              <w:t>　</w:t>
            </w:r>
            <w:r>
              <w:rPr>
                <w:rFonts w:hint="eastAsia" w:ascii="HG丸ｺﾞｼｯｸM-PRO" w:hAnsi="HG丸ｺﾞｼｯｸM-PRO" w:eastAsia="HG丸ｺﾞｼｯｸM-PRO"/>
              </w:rPr>
              <w:t>・防塵ネット</w:t>
            </w:r>
          </w:p>
          <w:p>
            <w:pPr>
              <w:pStyle w:val="0"/>
              <w:spacing w:line="360" w:lineRule="exact"/>
              <w:ind w:left="211" w:hanging="211" w:hangingChars="100"/>
              <w:rPr>
                <w:rFonts w:hint="default" w:ascii="HG丸ｺﾞｼｯｸM-PRO" w:hAnsi="HG丸ｺﾞｼｯｸM-PRO" w:eastAsia="HG丸ｺﾞｼｯｸM-PRO"/>
              </w:rPr>
            </w:pPr>
            <w:r>
              <w:rPr>
                <w:rFonts w:hint="eastAsia" w:ascii="HG丸ｺﾞｼｯｸM-PRO" w:hAnsi="HG丸ｺﾞｼｯｸM-PRO" w:eastAsia="HG丸ｺﾞｼｯｸM-PRO"/>
                <w:b w:val="1"/>
              </w:rPr>
              <w:t>　</w:t>
            </w:r>
            <w:r>
              <w:rPr>
                <w:rFonts w:hint="eastAsia" w:ascii="HG丸ｺﾞｼｯｸM-PRO" w:hAnsi="HG丸ｺﾞｼｯｸM-PRO" w:eastAsia="HG丸ｺﾞｼｯｸM-PRO"/>
              </w:rPr>
              <w:t>　廃棄物の飛散防止や粉じん対策として設置する。</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g">
                  <w:drawing>
                    <wp:inline distT="0" distB="0" distL="0" distR="0">
                      <wp:extent cx="2228215" cy="1811655"/>
                      <wp:effectExtent l="0" t="0" r="0" b="0"/>
                      <wp:docPr id="1085" name="グループ化 1131"/>
                      <a:graphic xmlns:a="http://schemas.openxmlformats.org/drawingml/2006/main">
                        <a:graphicData uri="http://schemas.microsoft.com/office/word/2010/wordprocessingGroup">
                          <wpg:wgp>
                            <wpg:cNvGrpSpPr/>
                            <wpg:grpSpPr>
                              <a:xfrm>
                                <a:off x="0" y="0"/>
                                <a:ext cx="2228215" cy="1811655"/>
                                <a:chOff x="0" y="0"/>
                                <a:chExt cx="12236" cy="9521"/>
                              </a:xfrm>
                            </wpg:grpSpPr>
                            <pic:pic xmlns:pic="http://schemas.openxmlformats.org/drawingml/2006/picture">
                              <pic:nvPicPr>
                                <pic:cNvPr id="1086" name="Picture 17202"/>
                                <pic:cNvPicPr>
                                  <a:picLocks noChangeAspect="1" noChangeArrowheads="1"/>
                                </pic:cNvPicPr>
                              </pic:nvPicPr>
                              <pic:blipFill>
                                <a:blip r:embed="rId65"/>
                                <a:stretch>
                                  <a:fillRect/>
                                </a:stretch>
                              </pic:blipFill>
                              <pic:spPr>
                                <a:xfrm>
                                  <a:off x="0" y="0"/>
                                  <a:ext cx="12236" cy="9521"/>
                                </a:xfrm>
                                <a:prstGeom prst="rect">
                                  <a:avLst/>
                                </a:prstGeom>
                                <a:noFill/>
                                <a:ln>
                                  <a:noFill/>
                                </a:ln>
                              </pic:spPr>
                            </pic:pic>
                            <wps:wsp>
                              <wps:cNvPr id="1087" name="直線矢印コネクタ 57"/>
                              <wps:cNvCnPr/>
                              <wps:spPr>
                                <a:xfrm>
                                  <a:off x="2401" y="975"/>
                                  <a:ext cx="0" cy="2917"/>
                                </a:xfrm>
                                <a:prstGeom prst="straightConnector1">
                                  <a:avLst/>
                                </a:prstGeom>
                                <a:noFill/>
                                <a:ln w="9525">
                                  <a:solidFill>
                                    <a:srgbClr val="FFFFFF"/>
                                  </a:solidFill>
                                  <a:round/>
                                  <a:headEnd type="triangle" w="sm" len="sm"/>
                                  <a:tailEnd type="triangle" w="sm" len="sm"/>
                                </a:ln>
                              </wps:spPr>
                              <wps:bodyPr/>
                            </wps:wsp>
                            <wps:wsp>
                              <wps:cNvPr id="1088" name="テキスト ボックス 192"/>
                              <wps:cNvSpPr txBox="1">
                                <a:spLocks noChangeArrowheads="1"/>
                              </wps:cNvSpPr>
                              <wps:spPr>
                                <a:xfrm>
                                  <a:off x="1619" y="1117"/>
                                  <a:ext cx="6584" cy="3321"/>
                                </a:xfrm>
                                <a:prstGeom prst="rect">
                                  <a:avLst/>
                                </a:prstGeom>
                                <a:noFill/>
                                <a:ln>
                                  <a:noFill/>
                                </a:ln>
                              </wps:spPr>
                              <wps:txbx>
                                <w:txbxContent>
                                  <w:p>
                                    <w:pPr>
                                      <w:pStyle w:val="32"/>
                                      <w:spacing w:before="0" w:beforeLines="0" w:beforeAutospacing="0" w:after="0" w:afterLines="0" w:afterAutospacing="0"/>
                                      <w:textAlignment w:val="baseline"/>
                                      <w:rPr>
                                        <w:rFonts w:hint="default" w:ascii="HG丸ｺﾞｼｯｸM-PRO" w:hAnsi="HG丸ｺﾞｼｯｸM-PRO" w:eastAsia="HG丸ｺﾞｼｯｸM-PRO"/>
                                        <w:color w:val="FFFFFF"/>
                                      </w:rPr>
                                    </w:pPr>
                                    <w:r>
                                      <w:rPr>
                                        <w:rFonts w:hint="eastAsia" w:ascii="HG丸ｺﾞｼｯｸM-PRO" w:hAnsi="HG丸ｺﾞｼｯｸM-PRO" w:eastAsia="HG丸ｺﾞｼｯｸM-PRO"/>
                                      </w:rPr>
                                      <w:t>　</w:t>
                                    </w:r>
                                    <w:r>
                                      <w:rPr>
                                        <w:rFonts w:hint="eastAsia" w:ascii="HG丸ｺﾞｼｯｸM-PRO" w:hAnsi="HG丸ｺﾞｼｯｸM-PRO" w:eastAsia="HG丸ｺﾞｼｯｸM-PRO"/>
                                        <w:color w:val="FFFFFF"/>
                                      </w:rPr>
                                      <w:t>防塵ネット</w:t>
                                    </w:r>
                                  </w:p>
                                  <w:p>
                                    <w:pPr>
                                      <w:pStyle w:val="32"/>
                                      <w:spacing w:before="0" w:beforeLines="0" w:beforeAutospacing="0" w:after="0" w:afterLines="0" w:afterAutospacing="0"/>
                                      <w:textAlignment w:val="baseline"/>
                                      <w:rPr>
                                        <w:rFonts w:hint="default"/>
                                      </w:rPr>
                                    </w:pPr>
                                  </w:p>
                                  <w:p>
                                    <w:pPr>
                                      <w:pStyle w:val="32"/>
                                      <w:spacing w:before="0" w:beforeLines="0" w:beforeAutospacing="0" w:after="0" w:afterLines="0" w:afterAutospacing="0"/>
                                      <w:textAlignment w:val="baseline"/>
                                      <w:rPr>
                                        <w:rFonts w:hint="default"/>
                                      </w:rPr>
                                    </w:pPr>
                                  </w:p>
                                </w:txbxContent>
                              </wps:txbx>
                              <wps:bodyPr rot="0" vertOverflow="overflow" horzOverflow="overflow" wrap="square" anchor="t" anchorCtr="0" upright="1"/>
                            </wps:wsp>
                          </wpg:wgp>
                        </a:graphicData>
                      </a:graphic>
                    </wp:inline>
                  </w:drawing>
                </mc:Choice>
                <mc:Fallback>
                  <w:pict>
                    <v:group id="グループ化 1131" style="height:142.65pt;width:175.45pt;" coordsize="12236,9521" coordorigin="0,0" o:spid="_x0000_s1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02" style="height:9521;width:12236;top:0;left:0;position:absolute;" o:spid="_x0000_s1086" filled="f" stroked="f" o:spt="75" type="#_x0000_t75">
                        <v:fill/>
                        <v:imagedata o:title="" r:id="rId65"/>
                        <w10:anchorlock/>
                      </v:shape>
                      <v:shapetype id="_x0000_t32" coordsize="21600,21600" o:spt="32" o:oned="t" path="m,l21600,21600e" filled="f">
                        <v:path arrowok="t" fillok="f" o:connecttype="none"/>
                        <o:lock v:ext="edit" shapetype="t"/>
                      </v:shapetype>
                      <v:shape id="直線矢印コネクタ 57" style="height:2917;width:0;top:975;left:2401;position:absolute;" o:spid="_x0000_s1087" filled="f" stroked="t" strokecolor="#ffffff" strokeweight="0.75pt" o:spt="32" type="#_x0000_t32">
                        <v:fill/>
                        <v:stroke filltype="solid" startarrow="block" startarrowwidth="narrow" startarrowlength="short" endarrow="block" endarrowwidth="narrow" endarrowlength="short"/>
                        <v:imagedata o:title=""/>
                        <w10:anchorlock/>
                      </v:shape>
                      <v:shapetype id="_x0000_t202" coordsize="21600,21600" o:spt="202" path="m,l,21600r21600,l21600,xe">
                        <v:stroke joinstyle="miter"/>
                        <v:path gradientshapeok="t" o:connecttype="rect"/>
                      </v:shapetype>
                      <v:shape id="テキスト ボックス 192" style="height:3321;width:6584;top:1117;left:1619;position:absolute;" o:spid="_x0000_s1088" filled="f" stroked="f" o:spt="202" type="#_x0000_t202">
                        <v:fill/>
                        <v:textbox style="layout-flow:horizontal;">
                          <w:txbxContent>
                            <w:p>
                              <w:pPr>
                                <w:pStyle w:val="32"/>
                                <w:spacing w:before="0" w:beforeLines="0" w:beforeAutospacing="0" w:after="0" w:afterLines="0" w:afterAutospacing="0"/>
                                <w:textAlignment w:val="baseline"/>
                                <w:rPr>
                                  <w:rFonts w:hint="default" w:ascii="HG丸ｺﾞｼｯｸM-PRO" w:hAnsi="HG丸ｺﾞｼｯｸM-PRO" w:eastAsia="HG丸ｺﾞｼｯｸM-PRO"/>
                                  <w:color w:val="FFFFFF"/>
                                </w:rPr>
                              </w:pPr>
                              <w:r>
                                <w:rPr>
                                  <w:rFonts w:hint="eastAsia" w:ascii="HG丸ｺﾞｼｯｸM-PRO" w:hAnsi="HG丸ｺﾞｼｯｸM-PRO" w:eastAsia="HG丸ｺﾞｼｯｸM-PRO"/>
                                </w:rPr>
                                <w:t>　</w:t>
                              </w:r>
                              <w:r>
                                <w:rPr>
                                  <w:rFonts w:hint="eastAsia" w:ascii="HG丸ｺﾞｼｯｸM-PRO" w:hAnsi="HG丸ｺﾞｼｯｸM-PRO" w:eastAsia="HG丸ｺﾞｼｯｸM-PRO"/>
                                  <w:color w:val="FFFFFF"/>
                                </w:rPr>
                                <w:t>防塵ネット</w:t>
                              </w:r>
                            </w:p>
                            <w:p>
                              <w:pPr>
                                <w:pStyle w:val="32"/>
                                <w:spacing w:before="0" w:beforeLines="0" w:beforeAutospacing="0" w:after="0" w:afterLines="0" w:afterAutospacing="0"/>
                                <w:textAlignment w:val="baseline"/>
                                <w:rPr>
                                  <w:rFonts w:hint="default"/>
                                </w:rPr>
                              </w:pPr>
                            </w:p>
                            <w:p>
                              <w:pPr>
                                <w:pStyle w:val="32"/>
                                <w:spacing w:before="0" w:beforeLines="0" w:beforeAutospacing="0" w:after="0" w:afterLines="0" w:afterAutospacing="0"/>
                                <w:textAlignment w:val="baseline"/>
                                <w:rPr>
                                  <w:rFonts w:hint="default"/>
                                </w:rPr>
                              </w:pPr>
                            </w:p>
                          </w:txbxContent>
                        </v:textbox>
                        <v:imagedata o:title=""/>
                        <w10:anchorlock/>
                      </v:shape>
                      <w10:anchorlock/>
                    </v:group>
                  </w:pict>
                </mc:Fallback>
              </mc:AlternateContent>
            </w:r>
          </w:p>
        </w:tc>
      </w:tr>
      <w:tr>
        <w:trPr/>
        <w:tc>
          <w:tcPr>
            <w:tcW w:w="4959" w:type="dxa"/>
            <w:shd w:val="clear" w:color="auto" w:fill="auto"/>
            <w:vAlign w:val="top"/>
          </w:tcPr>
          <w:p>
            <w:pPr>
              <w:pStyle w:val="0"/>
              <w:spacing w:line="36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w:t>
            </w: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・タイヤ洗浄設備、散水設備、・散水車</w:t>
            </w:r>
          </w:p>
          <w:p>
            <w:pPr>
              <w:pStyle w:val="0"/>
              <w:spacing w:line="360" w:lineRule="exac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処理施設から場外への粉じんの飛散防止、運搬車両からの粉じんの飛散防止対策として、運搬車両のタイヤに付着した土を洗い流すための洗浄設備を設置する。また搬出入道路や場内道路に散水したり、ロードスイーパー等により清掃する。</w:t>
            </w:r>
          </w:p>
          <w:p>
            <w:pPr>
              <w:pStyle w:val="0"/>
              <w:spacing w:line="360" w:lineRule="exact"/>
              <w:ind w:left="210" w:hanging="210" w:hanging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362835" cy="1541145"/>
                  <wp:effectExtent l="0" t="0" r="0" b="0"/>
                  <wp:docPr id="1089" name="図 7194"/>
                  <a:graphic xmlns:a="http://schemas.openxmlformats.org/drawingml/2006/main">
                    <a:graphicData uri="http://schemas.openxmlformats.org/drawingml/2006/picture">
                      <pic:pic xmlns:pic="http://schemas.openxmlformats.org/drawingml/2006/picture">
                        <pic:nvPicPr>
                          <pic:cNvPr id="1089" name="図 7194"/>
                          <pic:cNvPicPr>
                            <a:picLocks noChangeAspect="1" noChangeArrowheads="1"/>
                          </pic:cNvPicPr>
                        </pic:nvPicPr>
                        <pic:blipFill>
                          <a:blip r:embed="rId66"/>
                          <a:stretch>
                            <a:fillRect/>
                          </a:stretch>
                        </pic:blipFill>
                        <pic:spPr>
                          <a:xfrm>
                            <a:off x="0" y="0"/>
                            <a:ext cx="2362835" cy="154114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・発電機</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電気が通っていない場所に仮置場を設置する場合、電灯や投光機、水噴霧の電力を確保するため、必要に応じて設置する。また休憩スペースにおける冷暖房の稼動用（猛暑・寒波対策）に必要に応じて設置する。</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034540" cy="1870075"/>
                  <wp:effectExtent l="0" t="0" r="0" b="0"/>
                  <wp:docPr id="1090" name="図 19"/>
                  <a:graphic xmlns:a="http://schemas.openxmlformats.org/drawingml/2006/main">
                    <a:graphicData uri="http://schemas.openxmlformats.org/drawingml/2006/picture">
                      <pic:pic xmlns:pic="http://schemas.openxmlformats.org/drawingml/2006/picture">
                        <pic:nvPicPr>
                          <pic:cNvPr id="1090" name="図 19"/>
                          <pic:cNvPicPr>
                            <a:picLocks noChangeAspect="1" noChangeArrowheads="1"/>
                          </pic:cNvPicPr>
                        </pic:nvPicPr>
                        <pic:blipFill>
                          <a:blip r:embed="rId67"/>
                          <a:srcRect l="25552" t="25668" r="13937"/>
                          <a:stretch>
                            <a:fillRect/>
                          </a:stretch>
                        </pic:blipFill>
                        <pic:spPr>
                          <a:xfrm>
                            <a:off x="0" y="0"/>
                            <a:ext cx="2034540" cy="187007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・消臭剤</w:t>
            </w:r>
          </w:p>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　臭気対策として、悪臭の発生源に対して消臭剤を散布する。</w:t>
            </w: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393950" cy="1510030"/>
                  <wp:effectExtent l="0" t="0" r="0" b="0"/>
                  <wp:docPr id="1091" name="Picture 24"/>
                  <a:graphic xmlns:a="http://schemas.openxmlformats.org/drawingml/2006/main">
                    <a:graphicData uri="http://schemas.openxmlformats.org/drawingml/2006/picture">
                      <pic:pic xmlns:pic="http://schemas.openxmlformats.org/drawingml/2006/picture">
                        <pic:nvPicPr>
                          <pic:cNvPr id="1091" name="Picture 24"/>
                          <pic:cNvPicPr>
                            <a:picLocks noChangeAspect="1" noChangeArrowheads="1"/>
                          </pic:cNvPicPr>
                        </pic:nvPicPr>
                        <pic:blipFill>
                          <a:blip r:embed="rId68"/>
                          <a:stretch>
                            <a:fillRect/>
                          </a:stretch>
                        </pic:blipFill>
                        <pic:spPr>
                          <a:xfrm>
                            <a:off x="0" y="0"/>
                            <a:ext cx="2393950" cy="1510030"/>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・殺虫剤、防虫剤、殺鼠剤</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害虫として、必要に応じて害虫の発生する箇所に殺虫剤、防虫剤を散布する。</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また害獣対策として、必要に応じてねずみ駆除を実施する。</w:t>
            </w:r>
          </w:p>
        </w:tc>
        <w:tc>
          <w:tcPr>
            <w:tcW w:w="4538" w:type="dxa"/>
            <w:shd w:val="clear" w:color="auto" w:fill="auto"/>
            <w:vAlign w:val="top"/>
          </w:tcPr>
          <w:p>
            <w:pPr>
              <w:pStyle w:val="0"/>
              <w:jc w:val="center"/>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w:drawing>
                <wp:inline distT="0" distB="0" distL="0" distR="0">
                  <wp:extent cx="2496820" cy="1612900"/>
                  <wp:effectExtent l="0" t="0" r="0" b="0"/>
                  <wp:docPr id="1092" name="図 7198"/>
                  <a:graphic xmlns:a="http://schemas.openxmlformats.org/drawingml/2006/main">
                    <a:graphicData uri="http://schemas.openxmlformats.org/drawingml/2006/picture">
                      <pic:pic xmlns:pic="http://schemas.openxmlformats.org/drawingml/2006/picture">
                        <pic:nvPicPr>
                          <pic:cNvPr id="1092" name="図 7198"/>
                          <pic:cNvPicPr>
                            <a:picLocks noChangeAspect="1" noChangeArrowheads="1"/>
                          </pic:cNvPicPr>
                        </pic:nvPicPr>
                        <pic:blipFill>
                          <a:blip r:embed="rId69"/>
                          <a:stretch>
                            <a:fillRect/>
                          </a:stretch>
                        </pic:blipFill>
                        <pic:spPr>
                          <a:xfrm>
                            <a:off x="0" y="0"/>
                            <a:ext cx="2496820" cy="1612900"/>
                          </a:xfrm>
                          <a:prstGeom prst="rect">
                            <a:avLst/>
                          </a:prstGeom>
                          <a:noFill/>
                          <a:ln>
                            <a:noFill/>
                          </a:ln>
                        </pic:spPr>
                      </pic:pic>
                    </a:graphicData>
                  </a:graphic>
                </wp:inline>
              </w:drawing>
            </w:r>
          </w:p>
        </w:tc>
      </w:tr>
      <w:tr>
        <w:trPr/>
        <w:tc>
          <w:tcPr>
            <w:tcW w:w="9497" w:type="dxa"/>
            <w:gridSpan w:val="2"/>
            <w:shd w:val="clear" w:color="auto" w:fill="auto"/>
            <w:vAlign w:val="top"/>
          </w:tcPr>
          <w:p>
            <w:pPr>
              <w:pStyle w:val="0"/>
              <w:ind w:left="600" w:hanging="600" w:hangingChars="300"/>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　　※災害廃棄物に起因する害虫及び悪臭への対策については、公益社団法人日本ペストコントロール協会、一般財団法人日本環境衛生センター及び公益財団法人におい・かおり環境協会などに相談ができる。</w:t>
            </w: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・放熱管、温度計、消火器、防火水槽</w:t>
            </w:r>
          </w:p>
          <w:p>
            <w:pPr>
              <w:pStyle w:val="0"/>
              <w:spacing w:line="360" w:lineRule="exact"/>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堆積物内部の放熱のため放熱管を設置したり、可燃物内の温度や一酸化炭素濃度の測定を行うことで、廃棄物の火災を防止する。また万一、火災が発生した場合に備え、消火器や防火水槽を設置する。</w:t>
            </w:r>
          </w:p>
          <w:p>
            <w:pPr>
              <w:pStyle w:val="0"/>
              <w:spacing w:line="360" w:lineRule="exact"/>
              <w:ind w:left="210" w:leftChars="100" w:firstLine="210" w:firstLine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mc:AlternateContent>
                <mc:Choice Requires="wps">
                  <w:drawing>
                    <wp:anchor distT="0" distB="0" distL="114300" distR="114300" simplePos="0" relativeHeight="4294967208" behindDoc="0" locked="0" layoutInCell="1" hidden="0" allowOverlap="1">
                      <wp:simplePos x="0" y="0"/>
                      <wp:positionH relativeFrom="column">
                        <wp:posOffset>820420</wp:posOffset>
                      </wp:positionH>
                      <wp:positionV relativeFrom="paragraph">
                        <wp:posOffset>211455</wp:posOffset>
                      </wp:positionV>
                      <wp:extent cx="714375" cy="923925"/>
                      <wp:effectExtent l="19685" t="19685" r="29845" b="20320"/>
                      <wp:wrapNone/>
                      <wp:docPr id="1093" name="正方形/長方形 1130"/>
                      <a:graphic xmlns:a="http://schemas.openxmlformats.org/drawingml/2006/main">
                        <a:graphicData uri="http://schemas.microsoft.com/office/word/2010/wordprocessingShape">
                          <wps:wsp>
                            <wps:cNvPr id="1093" name="正方形/長方形 1130"/>
                            <wps:cNvSpPr>
                              <a:spLocks noChangeArrowheads="1"/>
                            </wps:cNvSpPr>
                            <wps:spPr>
                              <a:xfrm>
                                <a:off x="0" y="0"/>
                                <a:ext cx="714375" cy="923925"/>
                              </a:xfrm>
                              <a:prstGeom prst="rect">
                                <a:avLst/>
                              </a:prstGeom>
                              <a:noFill/>
                              <a:ln w="38100" algn="ctr">
                                <a:solidFill>
                                  <a:srgbClr val="FF0000"/>
                                </a:solidFill>
                                <a:miter lim="800000"/>
                                <a:headEnd/>
                                <a:tailEnd/>
                              </a:ln>
                              <a:effectLst/>
                            </wps:spPr>
                            <wps:bodyPr/>
                          </wps:wsp>
                        </a:graphicData>
                      </a:graphic>
                    </wp:anchor>
                  </w:drawing>
                </mc:Choice>
                <mc:Fallback>
                  <w:pict>
                    <v:rect id="正方形/長方形 1130" style="mso-wrap-distance-right:9pt;mso-wrap-distance-bottom:0pt;margin-top:16.64pt;mso-position-vertical-relative:text;mso-position-horizontal-relative:text;position:absolute;height:72.75pt;mso-wrap-distance-top:0pt;width:56.25pt;mso-wrap-distance-left:9pt;margin-left:64.59pt;z-index:-88;" o:spid="_x0000_s1093" o:allowincell="t" o:allowoverlap="t" filled="f" stroked="t" strokecolor="#ff0000" strokeweight="3pt" o:spt="1">
                      <v:fill/>
                      <v:stroke miterlimit="8" filltype="solid"/>
                      <v:textbox style="layout-flow:horizontal;"/>
                      <v:imagedata o:title=""/>
                      <w10:wrap type="none" anchorx="text" anchory="text"/>
                    </v:rect>
                  </w:pict>
                </mc:Fallback>
              </mc:AlternateContent>
            </w:r>
            <w:r>
              <w:rPr>
                <w:rFonts w:hint="default" w:ascii="HG丸ｺﾞｼｯｸM-PRO" w:hAnsi="HG丸ｺﾞｼｯｸM-PRO" w:eastAsia="HG丸ｺﾞｼｯｸM-PRO"/>
                <w:sz w:val="20"/>
              </w:rPr>
              <w:drawing>
                <wp:inline distT="0" distB="0" distL="0" distR="0">
                  <wp:extent cx="2352675" cy="1767205"/>
                  <wp:effectExtent l="0" t="0" r="0" b="0"/>
                  <wp:docPr id="1094" name="Picture 26" descr="図1"/>
                  <a:graphic xmlns:a="http://schemas.openxmlformats.org/drawingml/2006/main">
                    <a:graphicData uri="http://schemas.openxmlformats.org/drawingml/2006/picture">
                      <pic:pic xmlns:pic="http://schemas.openxmlformats.org/drawingml/2006/picture">
                        <pic:nvPicPr>
                          <pic:cNvPr id="1094" name="Picture 26" descr="図1"/>
                          <pic:cNvPicPr>
                            <a:picLocks noChangeAspect="1" noChangeArrowheads="1"/>
                          </pic:cNvPicPr>
                        </pic:nvPicPr>
                        <pic:blipFill>
                          <a:blip r:embed="rId70"/>
                          <a:stretch>
                            <a:fillRect/>
                          </a:stretch>
                        </pic:blipFill>
                        <pic:spPr>
                          <a:xfrm>
                            <a:off x="0" y="0"/>
                            <a:ext cx="2352675" cy="176720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p>
        </w:tc>
        <w:tc>
          <w:tcPr>
            <w:tcW w:w="4538" w:type="dxa"/>
            <w:shd w:val="clear" w:color="auto" w:fill="auto"/>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anchor distT="0" distB="0" distL="114300" distR="114300" simplePos="0" relativeHeight="4294967208" behindDoc="0" locked="0" layoutInCell="1" hidden="0" allowOverlap="1">
                      <wp:simplePos x="0" y="0"/>
                      <wp:positionH relativeFrom="column">
                        <wp:posOffset>1325245</wp:posOffset>
                      </wp:positionH>
                      <wp:positionV relativeFrom="paragraph">
                        <wp:posOffset>509905</wp:posOffset>
                      </wp:positionV>
                      <wp:extent cx="438150" cy="495300"/>
                      <wp:effectExtent l="19685" t="19685" r="29845" b="20320"/>
                      <wp:wrapNone/>
                      <wp:docPr id="1095" name="正方形/長方形 1129"/>
                      <a:graphic xmlns:a="http://schemas.openxmlformats.org/drawingml/2006/main">
                        <a:graphicData uri="http://schemas.microsoft.com/office/word/2010/wordprocessingShape">
                          <wps:wsp>
                            <wps:cNvPr id="1095" name="正方形/長方形 1129"/>
                            <wps:cNvSpPr>
                              <a:spLocks noChangeArrowheads="1"/>
                            </wps:cNvSpPr>
                            <wps:spPr>
                              <a:xfrm>
                                <a:off x="0" y="0"/>
                                <a:ext cx="438150" cy="495300"/>
                              </a:xfrm>
                              <a:prstGeom prst="rect">
                                <a:avLst/>
                              </a:prstGeom>
                              <a:noFill/>
                              <a:ln w="38100" algn="ctr">
                                <a:solidFill>
                                  <a:srgbClr val="FF0000"/>
                                </a:solidFill>
                                <a:miter lim="800000"/>
                                <a:headEnd/>
                                <a:tailEnd/>
                              </a:ln>
                              <a:effectLst/>
                            </wps:spPr>
                            <wps:bodyPr/>
                          </wps:wsp>
                        </a:graphicData>
                      </a:graphic>
                    </wp:anchor>
                  </w:drawing>
                </mc:Choice>
                <mc:Fallback>
                  <w:pict>
                    <v:rect id="正方形/長方形 1129" style="mso-wrap-distance-right:9pt;mso-wrap-distance-bottom:0pt;margin-top:40.15pt;mso-position-vertical-relative:text;mso-position-horizontal-relative:text;position:absolute;height:39pt;mso-wrap-distance-top:0pt;width:34.5pt;mso-wrap-distance-left:9pt;margin-left:104.35pt;z-index:-88;" o:spid="_x0000_s1095" o:allowincell="t" o:allowoverlap="t" filled="f" stroked="t" strokecolor="#ff0000" strokeweight="3pt" o:spt="1">
                      <v:fill/>
                      <v:stroke miterlimit="8" filltype="solid"/>
                      <v:textbox style="layout-flow:horizontal;"/>
                      <v:imagedata o:title=""/>
                      <w10:wrap type="none" anchorx="text" anchory="text"/>
                    </v:rect>
                  </w:pict>
                </mc:Fallback>
              </mc:AlternateContent>
            </w:r>
            <w:r>
              <w:rPr>
                <w:rFonts w:hint="default" w:ascii="HG丸ｺﾞｼｯｸM-PRO" w:hAnsi="HG丸ｺﾞｼｯｸM-PRO" w:eastAsia="HG丸ｺﾞｼｯｸM-PRO"/>
              </w:rPr>
              <w:drawing>
                <wp:inline distT="0" distB="0" distL="0" distR="0">
                  <wp:extent cx="2322195" cy="1304925"/>
                  <wp:effectExtent l="0" t="0" r="0" b="0"/>
                  <wp:docPr id="1096" name="Picture 27" descr="放熱管（気仙沼）遠藤先生"/>
                  <a:graphic xmlns:a="http://schemas.openxmlformats.org/drawingml/2006/main">
                    <a:graphicData uri="http://schemas.openxmlformats.org/drawingml/2006/picture">
                      <pic:pic xmlns:pic="http://schemas.openxmlformats.org/drawingml/2006/picture">
                        <pic:nvPicPr>
                          <pic:cNvPr id="1096" name="Picture 27" descr="放熱管（気仙沼）遠藤先生"/>
                          <pic:cNvPicPr>
                            <a:picLocks noChangeAspect="1" noChangeArrowheads="1"/>
                          </pic:cNvPicPr>
                        </pic:nvPicPr>
                        <pic:blipFill>
                          <a:blip r:embed="rId71"/>
                          <a:stretch>
                            <a:fillRect/>
                          </a:stretch>
                        </pic:blipFill>
                        <pic:spPr>
                          <a:xfrm>
                            <a:off x="0" y="0"/>
                            <a:ext cx="2322195" cy="1304925"/>
                          </a:xfrm>
                          <a:prstGeom prst="rect">
                            <a:avLst/>
                          </a:prstGeom>
                          <a:noFill/>
                          <a:ln>
                            <a:noFill/>
                          </a:ln>
                        </pic:spPr>
                      </pic:pic>
                    </a:graphicData>
                  </a:graphic>
                </wp:inline>
              </w:drawing>
            </w:r>
          </w:p>
        </w:tc>
      </w:tr>
      <w:tr>
        <w:trPr/>
        <w:tc>
          <w:tcPr>
            <w:tcW w:w="4959" w:type="dxa"/>
            <w:shd w:val="clear" w:color="auto" w:fill="auto"/>
            <w:vAlign w:val="top"/>
          </w:tcPr>
          <w:p>
            <w:pPr>
              <w:pStyle w:val="0"/>
              <w:spacing w:line="360" w:lineRule="exact"/>
              <w:ind w:left="21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・掃除用具</w:t>
            </w:r>
          </w:p>
          <w:p>
            <w:pPr>
              <w:pStyle w:val="0"/>
              <w:spacing w:line="360" w:lineRule="exact"/>
              <w:ind w:left="210" w:leftChars="100" w:firstLine="20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sz w:val="20"/>
              </w:rPr>
              <w:t>仮置場及びその周辺の美観の保全を目的に、準備した掃除用具で掃除する。</w:t>
            </w:r>
          </w:p>
        </w:tc>
        <w:tc>
          <w:tcPr>
            <w:tcW w:w="4538" w:type="dxa"/>
            <w:shd w:val="clear" w:color="auto" w:fill="auto"/>
            <w:vAlign w:val="top"/>
          </w:tcPr>
          <w:p>
            <w:pPr>
              <w:pStyle w:val="0"/>
              <w:jc w:val="center"/>
              <w:rPr>
                <w:rFonts w:hint="default" w:ascii="HG丸ｺﾞｼｯｸM-PRO" w:hAnsi="HG丸ｺﾞｼｯｸM-PRO" w:eastAsia="HG丸ｺﾞｼｯｸM-PRO"/>
              </w:rPr>
            </w:pP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rPr>
          <w:rFonts w:hint="default" w:ascii="HG丸ｺﾞｼｯｸM-PRO" w:hAnsi="HG丸ｺﾞｼｯｸM-PRO" w:eastAsia="HG丸ｺﾞｼｯｸM-PRO"/>
        </w:rPr>
        <w:sectPr>
          <w:headerReference r:id="rId48" w:type="default"/>
          <w:footerReference r:id="rId49" w:type="default"/>
          <w:pgSz w:w="11906" w:h="16838"/>
          <w:pgMar w:top="1440" w:right="1077" w:bottom="1440" w:left="1077" w:header="851" w:footer="992" w:gutter="0"/>
          <w:pgNumType w:start="1"/>
          <w:cols w:space="720"/>
          <w:textDirection w:val="lrTb"/>
          <w:docGrid w:type="linesAndChars" w:linePitch="360"/>
        </w:sect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資料５　災害廃棄物関係補助金</w:t>
            </w:r>
          </w:p>
        </w:tc>
      </w:tr>
    </w:tbl>
    <w:p>
      <w:pPr>
        <w:pStyle w:val="0"/>
        <w:rPr>
          <w:rFonts w:hint="default" w:ascii="HG丸ｺﾞｼｯｸM-PRO" w:hAnsi="HG丸ｺﾞｼｯｸM-PRO" w:eastAsia="HG丸ｺﾞｼｯｸM-PRO"/>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2</w:t>
            </w:r>
            <w:r>
              <w:rPr>
                <w:rFonts w:hint="eastAsia" w:ascii="HG丸ｺﾞｼｯｸM-PRO" w:hAnsi="HG丸ｺﾞｼｯｸM-PRO" w:eastAsia="HG丸ｺﾞｼｯｸM-PRO"/>
              </w:rPr>
              <w:t>２　災害等廃棄物処理事業費補助金</w:t>
            </w:r>
          </w:p>
        </w:tc>
      </w:tr>
    </w:tbl>
    <w:p>
      <w:pPr>
        <w:pStyle w:val="0"/>
        <w:rPr>
          <w:rFonts w:hint="default" w:ascii="HG丸ｺﾞｼｯｸM-PRO" w:hAnsi="HG丸ｺﾞｼｯｸM-PRO" w:eastAsia="HG丸ｺﾞｼｯｸM-PRO"/>
        </w:rPr>
      </w:pPr>
    </w:p>
    <w:tbl>
      <w:tblPr>
        <w:tblStyle w:val="45"/>
        <w:tblW w:w="9736"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firstRow="1" w:lastRow="0" w:firstColumn="1" w:lastColumn="0" w:noHBand="0" w:noVBand="1" w:val="04A0"/>
      </w:tblPr>
      <w:tblGrid>
        <w:gridCol w:w="9736"/>
      </w:tblGrid>
      <w:tr>
        <w:trPr/>
        <w:tc>
          <w:tcPr>
            <w:tcW w:w="973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１．目的</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暴風、洪水、高潮、地震、台風等その他の異常な天然現象による被災及び海岸保全区域外の海岸への大量の廃棄物の漂着被害に伴い、市町村等が実施する災害等廃棄物の処理に係る費用について、「災害等廃棄物処理事業費補助金」により被災市町村を財政的に支援することを目的。（タイトルの「等」は災害起因以外の漂着被害を指す。）</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２．事業主体</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市町村（一部事務組合、広域連合、特別区を含む）</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３．対象事業</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市町村が災害（暴風、洪水、高潮、地震、津波その他の異常な天然現象により生ずる災害）その他の事由（災害に起因しないが、海岸法（昭和</w:t>
            </w:r>
            <w:r>
              <w:rPr>
                <w:rFonts w:hint="default" w:ascii="HG丸ｺﾞｼｯｸM-PRO" w:hAnsi="HG丸ｺﾞｼｯｸM-PRO" w:eastAsia="HG丸ｺﾞｼｯｸM-PRO"/>
              </w:rPr>
              <w:t>31</w:t>
            </w:r>
            <w:r>
              <w:rPr>
                <w:rFonts w:hint="eastAsia" w:ascii="HG丸ｺﾞｼｯｸM-PRO" w:hAnsi="HG丸ｺﾞｼｯｸM-PRO" w:eastAsia="HG丸ｺﾞｼｯｸM-PRO"/>
              </w:rPr>
              <w:t>年法律第</w:t>
            </w:r>
            <w:r>
              <w:rPr>
                <w:rFonts w:hint="default" w:ascii="HG丸ｺﾞｼｯｸM-PRO" w:hAnsi="HG丸ｺﾞｼｯｸM-PRO" w:eastAsia="HG丸ｺﾞｼｯｸM-PRO"/>
              </w:rPr>
              <w:t>101</w:t>
            </w:r>
            <w:r>
              <w:rPr>
                <w:rFonts w:hint="eastAsia" w:ascii="HG丸ｺﾞｼｯｸM-PRO" w:hAnsi="HG丸ｺﾞｼｯｸM-PRO" w:eastAsia="HG丸ｺﾞｼｯｸM-PRO"/>
              </w:rPr>
              <w:t>号）第３条に定める海岸保全区域以外の海岸における大量の廃棄物の漂着被害）のために実施した生活環境の保全上特に必要とされる廃棄物の収集、運搬及び処分に係る事業。</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災害に伴って便槽に流入した汚水の収集、運搬及び処分に係る事業。</w:t>
            </w:r>
          </w:p>
          <w:p>
            <w:pPr>
              <w:pStyle w:val="15"/>
              <w:numPr>
                <w:ilvl w:val="0"/>
                <w:numId w:val="4"/>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特に必要と認めた仮設便所、集団避難所等のし尿の収集、運搬及び処分に係る事業であって災害救助法（昭和</w:t>
            </w:r>
            <w:r>
              <w:rPr>
                <w:rFonts w:hint="default" w:ascii="HG丸ｺﾞｼｯｸM-PRO" w:hAnsi="HG丸ｺﾞｼｯｸM-PRO" w:eastAsia="HG丸ｺﾞｼｯｸM-PRO"/>
              </w:rPr>
              <w:t>22</w:t>
            </w:r>
            <w:r>
              <w:rPr>
                <w:rFonts w:hint="eastAsia" w:ascii="HG丸ｺﾞｼｯｸM-PRO" w:hAnsi="HG丸ｺﾞｼｯｸM-PRO" w:eastAsia="HG丸ｺﾞｼｯｸM-PRO"/>
              </w:rPr>
              <w:t>年法律第</w:t>
            </w:r>
            <w:r>
              <w:rPr>
                <w:rFonts w:hint="default" w:ascii="HG丸ｺﾞｼｯｸM-PRO" w:hAnsi="HG丸ｺﾞｼｯｸM-PRO" w:eastAsia="HG丸ｺﾞｼｯｸM-PRO"/>
              </w:rPr>
              <w:t>118</w:t>
            </w:r>
            <w:r>
              <w:rPr>
                <w:rFonts w:hint="eastAsia" w:ascii="HG丸ｺﾞｼｯｸM-PRO" w:hAnsi="HG丸ｺﾞｼｯｸM-PRO" w:eastAsia="HG丸ｺﾞｼｯｸM-PRO"/>
              </w:rPr>
              <w:t>号）に基づく避難所の開設期間内のもの。</w:t>
            </w:r>
          </w:p>
          <w:p>
            <w:pPr>
              <w:pStyle w:val="0"/>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kern w:val="0"/>
                <w:sz w:val="22"/>
              </w:rPr>
              <w:t>【災害等廃棄物処理事業の業務フロー】</w:t>
            </w: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5921375" cy="2872105"/>
                  <wp:effectExtent l="0" t="0" r="0" b="0"/>
                  <wp:docPr id="1097" name="Picture 4"/>
                  <a:graphic xmlns:a="http://schemas.openxmlformats.org/drawingml/2006/main">
                    <a:graphicData uri="http://schemas.openxmlformats.org/drawingml/2006/picture">
                      <pic:pic xmlns:pic="http://schemas.openxmlformats.org/drawingml/2006/picture">
                        <pic:nvPicPr>
                          <pic:cNvPr id="1097" name="Picture 4"/>
                          <pic:cNvPicPr>
                            <a:picLocks noChangeAspect="1" noChangeArrowheads="1"/>
                          </pic:cNvPicPr>
                        </pic:nvPicPr>
                        <pic:blipFill>
                          <a:blip r:embed="rId74"/>
                          <a:stretch>
                            <a:fillRect/>
                          </a:stretch>
                        </pic:blipFill>
                        <pic:spPr>
                          <a:xfrm>
                            <a:off x="0" y="0"/>
                            <a:ext cx="5921375" cy="2872105"/>
                          </a:xfrm>
                          <a:prstGeom prst="rect">
                            <a:avLst/>
                          </a:prstGeom>
                          <a:noFill/>
                          <a:ln>
                            <a:noFill/>
                          </a:ln>
                        </pic:spPr>
                      </pic:pic>
                    </a:graphicData>
                  </a:graphic>
                </wp:inline>
              </w:drawing>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４．要件</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事業費総額が指定市で</w:t>
            </w:r>
            <w:r>
              <w:rPr>
                <w:rFonts w:hint="eastAsia" w:ascii="HG丸ｺﾞｼｯｸM-PRO" w:hAnsi="HG丸ｺﾞｼｯｸM-PRO" w:eastAsia="HG丸ｺﾞｼｯｸM-PRO"/>
              </w:rPr>
              <w:t>80</w:t>
            </w:r>
            <w:r>
              <w:rPr>
                <w:rFonts w:hint="eastAsia" w:ascii="HG丸ｺﾞｼｯｸM-PRO" w:hAnsi="HG丸ｺﾞｼｯｸM-PRO" w:eastAsia="HG丸ｺﾞｼｯｸM-PRO"/>
              </w:rPr>
              <w:t>万円以上、市町村で</w:t>
            </w:r>
            <w:r>
              <w:rPr>
                <w:rFonts w:hint="eastAsia" w:ascii="HG丸ｺﾞｼｯｸM-PRO" w:hAnsi="HG丸ｺﾞｼｯｸM-PRO" w:eastAsia="HG丸ｺﾞｼｯｸM-PRO"/>
              </w:rPr>
              <w:t>40</w:t>
            </w:r>
            <w:r>
              <w:rPr>
                <w:rFonts w:hint="eastAsia" w:ascii="HG丸ｺﾞｼｯｸM-PRO" w:hAnsi="HG丸ｺﾞｼｯｸM-PRO" w:eastAsia="HG丸ｺﾞｼｯｸM-PRO"/>
              </w:rPr>
              <w:t>万円以上であること</w:t>
            </w:r>
          </w:p>
          <w:p>
            <w:pPr>
              <w:pStyle w:val="0"/>
              <w:ind w:firstLine="420" w:firstLineChars="2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５．補助率</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１／２</w:t>
            </w:r>
          </w:p>
          <w:tbl>
            <w:tblPr>
              <w:tblStyle w:val="45"/>
              <w:tblW w:w="9202" w:type="dxa"/>
              <w:tblInd w:w="308" w:type="dxa"/>
              <w:tblLayout w:type="fixed"/>
              <w:tblLook w:firstRow="1" w:lastRow="0" w:firstColumn="1" w:lastColumn="0" w:noHBand="0" w:noVBand="1" w:val="04A0"/>
            </w:tblPr>
            <w:tblGrid>
              <w:gridCol w:w="9202"/>
            </w:tblGrid>
            <w:tr>
              <w:trPr/>
              <w:tc>
                <w:tcPr>
                  <w:tcW w:w="9202" w:type="dxa"/>
                  <w:shd w:val="clear" w:color="auto" w:themeFill="background1" w:themeFillTint="FF" w:themeFillShade="F2"/>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各年度の補助対象事業に係る「実支出額」と各年度の「総事業費」から「寄付金・その他収入額」を差し引いた金額とを比較していずれか少ない方の額が国庫補助対象事業費となる。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「実支出額」</w:t>
                  </w:r>
                </w:p>
                <w:p>
                  <w:pPr>
                    <w:pStyle w:val="0"/>
                    <w:ind w:firstLine="1260" w:firstLineChars="600"/>
                    <w:rPr>
                      <w:rFonts w:hint="default" w:ascii="HG丸ｺﾞｼｯｸM-PRO" w:hAnsi="HG丸ｺﾞｼｯｸM-PRO" w:eastAsia="HG丸ｺﾞｼｯｸM-PRO"/>
                    </w:rPr>
                  </w:pPr>
                  <w:r>
                    <w:rPr>
                      <w:rFonts w:hint="eastAsia" w:ascii="HG丸ｺﾞｼｯｸM-PRO" w:hAnsi="HG丸ｺﾞｼｯｸM-PRO" w:eastAsia="HG丸ｺﾞｼｯｸM-PRO"/>
                    </w:rPr>
                    <w:t>－「寄付金・その他収入」</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いずれか安価</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国庫補助対象事業費</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「総事業費」</w:t>
                  </w:r>
                </w:p>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w:t>
                  </w:r>
                  <w:r>
                    <w:rPr>
                      <w:rFonts w:hint="default" w:ascii="HG丸ｺﾞｼｯｸM-PRO" w:hAnsi="HG丸ｺﾞｼｯｸM-PRO" w:eastAsia="HG丸ｺﾞｼｯｸM-PRO"/>
                    </w:rPr>
                    <w:t>,</w:t>
                  </w:r>
                  <w:r>
                    <w:rPr>
                      <w:rFonts w:hint="eastAsia" w:ascii="HG丸ｺﾞｼｯｸM-PRO" w:hAnsi="HG丸ｺﾞｼｯｸM-PRO" w:eastAsia="HG丸ｺﾞｼｯｸM-PRO"/>
                    </w:rPr>
                    <w:t>000</w:t>
                  </w:r>
                  <w:r>
                    <w:rPr>
                      <w:rFonts w:hint="eastAsia" w:ascii="HG丸ｺﾞｼｯｸM-PRO" w:hAnsi="HG丸ｺﾞｼｯｸM-PRO" w:eastAsia="HG丸ｺﾞｼｯｸM-PRO"/>
                    </w:rPr>
                    <w:t>円未満切り捨て</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６．その他</w:t>
            </w:r>
          </w:p>
          <w:p>
            <w:pPr>
              <w:pStyle w:val="0"/>
              <w:ind w:left="223" w:leftChars="106" w:firstLine="195" w:firstLineChars="93"/>
              <w:rPr>
                <w:rFonts w:hint="default" w:ascii="HG丸ｺﾞｼｯｸM-PRO" w:hAnsi="HG丸ｺﾞｼｯｸM-PRO" w:eastAsia="HG丸ｺﾞｼｯｸM-PRO"/>
              </w:rPr>
            </w:pPr>
            <w:r>
              <w:rPr>
                <w:rFonts w:hint="eastAsia" w:ascii="HG丸ｺﾞｼｯｸM-PRO" w:hAnsi="HG丸ｺﾞｼｯｸM-PRO" w:eastAsia="HG丸ｺﾞｼｯｸM-PRO"/>
              </w:rPr>
              <w:t>本補助金の補助うら分に対し、８割を限度として特別交付税の措置がなされ、実質的な市町村等の負担は</w:t>
            </w:r>
            <w:r>
              <w:rPr>
                <w:rFonts w:hint="default" w:ascii="HG丸ｺﾞｼｯｸM-PRO" w:hAnsi="HG丸ｺﾞｼｯｸM-PRO" w:eastAsia="HG丸ｺﾞｼｯｸM-PRO"/>
              </w:rPr>
              <w:t xml:space="preserve">1 </w:t>
            </w:r>
            <w:r>
              <w:rPr>
                <w:rFonts w:hint="eastAsia" w:ascii="HG丸ｺﾞｼｯｸM-PRO" w:hAnsi="HG丸ｺﾞｼｯｸM-PRO" w:eastAsia="HG丸ｺﾞｼｯｸM-PRO"/>
              </w:rPr>
              <w:t>割程度となる。</w:t>
            </w:r>
          </w:p>
          <w:p>
            <w:pPr>
              <w:pStyle w:val="0"/>
              <w:ind w:firstLine="420" w:firstLineChars="200"/>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【総事業費と補助金額、特別交付税措置の負担割合のイメージ】</w:t>
            </w: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6038850" cy="1252855"/>
                  <wp:effectExtent l="0" t="0" r="0" b="0"/>
                  <wp:docPr id="1098" name="Picture 5"/>
                  <a:graphic xmlns:a="http://schemas.openxmlformats.org/drawingml/2006/main">
                    <a:graphicData uri="http://schemas.openxmlformats.org/drawingml/2006/picture">
                      <pic:pic xmlns:pic="http://schemas.openxmlformats.org/drawingml/2006/picture">
                        <pic:nvPicPr>
                          <pic:cNvPr id="1098" name="Picture 5"/>
                          <pic:cNvPicPr>
                            <a:picLocks noChangeAspect="1" noChangeArrowheads="1"/>
                          </pic:cNvPicPr>
                        </pic:nvPicPr>
                        <pic:blipFill>
                          <a:blip r:embed="rId75"/>
                          <a:stretch>
                            <a:fillRect/>
                          </a:stretch>
                        </pic:blipFill>
                        <pic:spPr>
                          <a:xfrm>
                            <a:off x="0" y="0"/>
                            <a:ext cx="6038850" cy="1252855"/>
                          </a:xfrm>
                          <a:prstGeom prst="rect">
                            <a:avLst/>
                          </a:prstGeom>
                          <a:noFill/>
                          <a:ln>
                            <a:noFill/>
                          </a:ln>
                        </pic:spPr>
                      </pic:pic>
                    </a:graphicData>
                  </a:graphic>
                </wp:inline>
              </w:drawing>
            </w:r>
          </w:p>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※「補助率１／２、補助うら８割」は国庫補助対象事業費を１００としてのものである。</w:t>
            </w:r>
          </w:p>
        </w:tc>
      </w:tr>
    </w:tbl>
    <w:p>
      <w:pPr>
        <w:pStyle w:val="0"/>
        <w:spacing w:line="24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sz w:val="18"/>
        </w:rPr>
        <w:t>出典：「</w:t>
      </w:r>
      <w:r>
        <w:rPr>
          <w:rFonts w:hint="eastAsia" w:ascii="HG丸ｺﾞｼｯｸM-PRO" w:hAnsi="HG丸ｺﾞｼｯｸM-PRO" w:eastAsia="HG丸ｺﾞｼｯｸM-PRO"/>
          <w:color w:val="000000"/>
          <w:kern w:val="0"/>
          <w:sz w:val="18"/>
        </w:rPr>
        <w:t>災害関係業務事務処理マニュアル（自治体事務担当者用）」（平成</w:t>
      </w:r>
      <w:r>
        <w:rPr>
          <w:rFonts w:hint="default" w:ascii="HG丸ｺﾞｼｯｸM-PRO" w:hAnsi="HG丸ｺﾞｼｯｸM-PRO" w:eastAsia="HG丸ｺﾞｼｯｸM-PRO"/>
          <w:color w:val="000000"/>
          <w:kern w:val="0"/>
          <w:sz w:val="18"/>
        </w:rPr>
        <w:t>26</w:t>
      </w:r>
      <w:r>
        <w:rPr>
          <w:rFonts w:hint="eastAsia" w:ascii="HG丸ｺﾞｼｯｸM-PRO" w:hAnsi="HG丸ｺﾞｼｯｸM-PRO" w:eastAsia="HG丸ｺﾞｼｯｸM-PRO"/>
          <w:color w:val="000000"/>
          <w:kern w:val="0"/>
          <w:sz w:val="18"/>
        </w:rPr>
        <w:t>年</w:t>
      </w:r>
      <w:r>
        <w:rPr>
          <w:rFonts w:hint="default" w:ascii="HG丸ｺﾞｼｯｸM-PRO" w:hAnsi="HG丸ｺﾞｼｯｸM-PRO" w:eastAsia="HG丸ｺﾞｼｯｸM-PRO"/>
          <w:color w:val="000000"/>
          <w:kern w:val="0"/>
          <w:sz w:val="18"/>
        </w:rPr>
        <w:t>6</w:t>
      </w:r>
      <w:r>
        <w:rPr>
          <w:rFonts w:hint="eastAsia" w:ascii="HG丸ｺﾞｼｯｸM-PRO" w:hAnsi="HG丸ｺﾞｼｯｸM-PRO" w:eastAsia="HG丸ｺﾞｼｯｸM-PRO"/>
          <w:color w:val="000000"/>
          <w:kern w:val="0"/>
          <w:sz w:val="18"/>
        </w:rPr>
        <w:t>月）</w:t>
      </w:r>
    </w:p>
    <w:p>
      <w:pPr>
        <w:pStyle w:val="0"/>
        <w:spacing w:line="240" w:lineRule="exact"/>
        <w:ind w:left="540"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color w:val="000000"/>
          <w:kern w:val="0"/>
          <w:sz w:val="18"/>
        </w:rPr>
        <w:t>　　</w:t>
      </w:r>
      <w:r>
        <w:rPr>
          <w:rFonts w:hint="eastAsia" w:ascii="HG丸ｺﾞｼｯｸM-PRO" w:hAnsi="HG丸ｺﾞｼｯｸM-PRO" w:eastAsia="HG丸ｺﾞｼｯｸM-PRO"/>
          <w:color w:val="000000"/>
          <w:kern w:val="0"/>
          <w:sz w:val="18"/>
        </w:rPr>
        <w:t xml:space="preserve"> </w:t>
      </w:r>
      <w:r>
        <w:rPr>
          <w:rFonts w:hint="eastAsia" w:ascii="HG丸ｺﾞｼｯｸM-PRO" w:hAnsi="HG丸ｺﾞｼｯｸM-PRO" w:eastAsia="HG丸ｺﾞｼｯｸM-PRO"/>
          <w:color w:val="000000"/>
          <w:kern w:val="0"/>
          <w:sz w:val="18"/>
        </w:rPr>
        <w:t>「市町村向け災害廃棄物処理行政事務の手引き」（平成</w:t>
      </w:r>
      <w:r>
        <w:rPr>
          <w:rFonts w:hint="eastAsia" w:ascii="HG丸ｺﾞｼｯｸM-PRO" w:hAnsi="HG丸ｺﾞｼｯｸM-PRO" w:eastAsia="HG丸ｺﾞｼｯｸM-PRO"/>
          <w:color w:val="000000"/>
          <w:kern w:val="0"/>
          <w:sz w:val="18"/>
        </w:rPr>
        <w:t>30</w:t>
      </w:r>
      <w:r>
        <w:rPr>
          <w:rFonts w:hint="eastAsia" w:ascii="HG丸ｺﾞｼｯｸM-PRO" w:hAnsi="HG丸ｺﾞｼｯｸM-PRO" w:eastAsia="HG丸ｺﾞｼｯｸM-PRO"/>
          <w:color w:val="000000"/>
          <w:kern w:val="0"/>
          <w:sz w:val="18"/>
        </w:rPr>
        <w:t>年３月、環境省東北地方環境事務所・関東地方環境事務所）</w:t>
      </w:r>
    </w:p>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rHeight w:val="346" w:hRule="atLeast"/>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巻末図表</w:t>
            </w:r>
            <w:r>
              <w:rPr>
                <w:rFonts w:hint="eastAsia" w:ascii="HG丸ｺﾞｼｯｸM-PRO" w:hAnsi="HG丸ｺﾞｼｯｸM-PRO" w:eastAsia="HG丸ｺﾞｼｯｸM-PRO"/>
              </w:rPr>
              <w:t>2</w:t>
            </w:r>
            <w:r>
              <w:rPr>
                <w:rFonts w:hint="eastAsia" w:ascii="HG丸ｺﾞｼｯｸM-PRO" w:hAnsi="HG丸ｺﾞｼｯｸM-PRO" w:eastAsia="HG丸ｺﾞｼｯｸM-PRO"/>
              </w:rPr>
              <w:t>３　廃棄物処理施設災害復旧事業</w:t>
            </w:r>
          </w:p>
        </w:tc>
      </w:tr>
    </w:tbl>
    <w:p>
      <w:pPr>
        <w:pStyle w:val="0"/>
        <w:rPr>
          <w:rFonts w:hint="default" w:ascii="HG丸ｺﾞｼｯｸM-PRO" w:hAnsi="HG丸ｺﾞｼｯｸM-PRO" w:eastAsia="HG丸ｺﾞｼｯｸM-PRO"/>
        </w:rPr>
      </w:pPr>
    </w:p>
    <w:tbl>
      <w:tblPr>
        <w:tblStyle w:val="45"/>
        <w:tblW w:w="9736"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firstRow="1" w:lastRow="0" w:firstColumn="1" w:lastColumn="0" w:noHBand="0" w:noVBand="1" w:val="04A0"/>
      </w:tblPr>
      <w:tblGrid>
        <w:gridCol w:w="9736"/>
      </w:tblGrid>
      <w:tr>
        <w:trPr/>
        <w:tc>
          <w:tcPr>
            <w:tcW w:w="973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１．目的</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災害により被害を受けた廃棄物処理施設を原形に復旧すること及び応急復旧する。</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２．事業主体</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地方公共団体（都道府県、市町村、特別区、一部事務組合。広域連合を含む）、廃棄物処理センター・</w:t>
            </w:r>
            <w:r>
              <w:rPr>
                <w:rFonts w:hint="default" w:ascii="HG丸ｺﾞｼｯｸM-PRO" w:hAnsi="HG丸ｺﾞｼｯｸM-PRO" w:eastAsia="HG丸ｺﾞｼｯｸM-PRO"/>
              </w:rPr>
              <w:t xml:space="preserve">PFI </w:t>
            </w:r>
            <w:r>
              <w:rPr>
                <w:rFonts w:hint="eastAsia" w:ascii="HG丸ｺﾞｼｯｸM-PRO" w:hAnsi="HG丸ｺﾞｼｯｸM-PRO" w:eastAsia="HG丸ｺﾞｼｯｸM-PRO"/>
              </w:rPr>
              <w:t>選定事業者・広域臨海環境整備センター、日本環境安全事業株式会社※産業廃棄物処理施設、</w:t>
            </w:r>
            <w:r>
              <w:rPr>
                <w:rFonts w:hint="default" w:ascii="HG丸ｺﾞｼｯｸM-PRO" w:hAnsi="HG丸ｺﾞｼｯｸM-PRO" w:eastAsia="HG丸ｺﾞｼｯｸM-PRO"/>
              </w:rPr>
              <w:t xml:space="preserve">PCB </w:t>
            </w:r>
            <w:r>
              <w:rPr>
                <w:rFonts w:hint="eastAsia" w:ascii="HG丸ｺﾞｼｯｸM-PRO" w:hAnsi="HG丸ｺﾞｼｯｸM-PRO" w:eastAsia="HG丸ｺﾞｼｯｸM-PRO"/>
              </w:rPr>
              <w:t>廃棄物処理施設の被害にあっては環境省環境再生・資源循環局環境再生施設整備担当参事官付ポリ塩化ビフェニル廃棄物処理推進室、広域廃棄物埋立処分場の被害にあっては同企画課において実地調査等を担当する。</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３．対象事業</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災害により被害を受けた廃棄物処理施設を原形に復旧すること及び応急復旧事業。</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４．補助率</w:t>
            </w:r>
          </w:p>
          <w:p>
            <w:pPr>
              <w:pStyle w:val="0"/>
              <w:ind w:firstLine="420"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１／２</w:t>
            </w:r>
          </w:p>
          <w:tbl>
            <w:tblPr>
              <w:tblStyle w:val="45"/>
              <w:tblW w:w="9202" w:type="dxa"/>
              <w:tblInd w:w="308" w:type="dxa"/>
              <w:tblLayout w:type="fixed"/>
              <w:tblLook w:firstRow="1" w:lastRow="0" w:firstColumn="1" w:lastColumn="0" w:noHBand="0" w:noVBand="1" w:val="04A0"/>
            </w:tblPr>
            <w:tblGrid>
              <w:gridCol w:w="9202"/>
            </w:tblGrid>
            <w:tr>
              <w:trPr/>
              <w:tc>
                <w:tcPr>
                  <w:tcW w:w="9202" w:type="dxa"/>
                  <w:shd w:val="clear" w:color="auto" w:themeFill="background1" w:themeFillTint="FF" w:themeFillShade="F2"/>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各年度の補助対象事業に係る「実支出額」と各年度の「総事業費」から「寄付金・その他収</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入額」を差し引いた金額と比較していずれか少ない方の額が国庫補助対象事業費となる。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「実支出額」</w:t>
                  </w:r>
                </w:p>
                <w:p>
                  <w:pPr>
                    <w:pStyle w:val="0"/>
                    <w:ind w:firstLine="1260" w:firstLineChars="600"/>
                    <w:rPr>
                      <w:rFonts w:hint="default" w:ascii="HG丸ｺﾞｼｯｸM-PRO" w:hAnsi="HG丸ｺﾞｼｯｸM-PRO" w:eastAsia="HG丸ｺﾞｼｯｸM-PRO"/>
                    </w:rPr>
                  </w:pPr>
                  <w:r>
                    <w:rPr>
                      <w:rFonts w:hint="eastAsia" w:ascii="HG丸ｺﾞｼｯｸM-PRO" w:hAnsi="HG丸ｺﾞｼｯｸM-PRO" w:eastAsia="HG丸ｺﾞｼｯｸM-PRO"/>
                    </w:rPr>
                    <w:t>－「寄付金・その他収入」</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いずれか安価</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国庫補助対象事業費</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「総事業費」</w:t>
                  </w:r>
                </w:p>
                <w:p>
                  <w:pPr>
                    <w:pStyle w:val="0"/>
                    <w:jc w:val="right"/>
                    <w:rPr>
                      <w:rFonts w:hint="default" w:ascii="HG丸ｺﾞｼｯｸM-PRO" w:hAnsi="HG丸ｺﾞｼｯｸM-PRO" w:eastAsia="HG丸ｺﾞｼｯｸM-PRO"/>
                    </w:rPr>
                  </w:pPr>
                  <w:r>
                    <w:rPr>
                      <w:rFonts w:hint="default" w:ascii="HG丸ｺﾞｼｯｸM-PRO" w:hAnsi="HG丸ｺﾞｼｯｸM-PRO" w:eastAsia="HG丸ｺﾞｼｯｸM-PRO"/>
                    </w:rPr>
                    <w:t xml:space="preserve">1,000 </w:t>
                  </w:r>
                  <w:r>
                    <w:rPr>
                      <w:rFonts w:hint="eastAsia" w:ascii="HG丸ｺﾞｼｯｸM-PRO" w:hAnsi="HG丸ｺﾞｼｯｸM-PRO" w:eastAsia="HG丸ｺﾞｼｯｸM-PRO"/>
                    </w:rPr>
                    <w:t>円未満切り捨て</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５．その他</w:t>
            </w:r>
          </w:p>
          <w:p>
            <w:pPr>
              <w:pStyle w:val="0"/>
              <w:ind w:left="193" w:leftChars="92" w:firstLine="225" w:firstLineChars="107"/>
              <w:rPr>
                <w:rFonts w:hint="default" w:ascii="HG丸ｺﾞｼｯｸM-PRO" w:hAnsi="HG丸ｺﾞｼｯｸM-PRO" w:eastAsia="HG丸ｺﾞｼｯｸM-PRO"/>
              </w:rPr>
            </w:pPr>
            <w:r>
              <w:rPr>
                <w:rFonts w:hint="eastAsia" w:ascii="HG丸ｺﾞｼｯｸM-PRO" w:hAnsi="HG丸ｺﾞｼｯｸM-PRO" w:eastAsia="HG丸ｺﾞｼｯｸM-PRO"/>
              </w:rPr>
              <w:t>地方負担分に対して起債措置がなされた場合、元利償環金について普通交付税措置（元利償還金の</w:t>
            </w:r>
            <w:r>
              <w:rPr>
                <w:rFonts w:hint="default" w:ascii="HG丸ｺﾞｼｯｸM-PRO" w:hAnsi="HG丸ｺﾞｼｯｸM-PRO" w:eastAsia="HG丸ｺﾞｼｯｸM-PRO"/>
              </w:rPr>
              <w:t>47.5</w:t>
            </w:r>
            <w:r>
              <w:rPr>
                <w:rFonts w:hint="eastAsia" w:ascii="HG丸ｺﾞｼｯｸM-PRO" w:hAnsi="HG丸ｺﾞｼｯｸM-PRO" w:eastAsia="HG丸ｺﾞｼｯｸM-PRO"/>
              </w:rPr>
              <w:t>％（財政力補正により</w:t>
            </w:r>
            <w:r>
              <w:rPr>
                <w:rFonts w:hint="default" w:ascii="HG丸ｺﾞｼｯｸM-PRO" w:hAnsi="HG丸ｺﾞｼｯｸM-PRO" w:eastAsia="HG丸ｺﾞｼｯｸM-PRO"/>
              </w:rPr>
              <w:t>85.5</w:t>
            </w:r>
            <w:r>
              <w:rPr>
                <w:rFonts w:hint="eastAsia" w:ascii="HG丸ｺﾞｼｯｸM-PRO" w:hAnsi="HG丸ｺﾞｼｯｸM-PRO" w:eastAsia="HG丸ｺﾞｼｯｸM-PRO"/>
              </w:rPr>
              <w:t>％まで））</w:t>
            </w:r>
          </w:p>
        </w:tc>
      </w:tr>
    </w:tbl>
    <w:p>
      <w:pPr>
        <w:pStyle w:val="0"/>
        <w:spacing w:line="24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sz w:val="18"/>
        </w:rPr>
        <w:t>出典：「</w:t>
      </w:r>
      <w:r>
        <w:rPr>
          <w:rFonts w:hint="eastAsia" w:ascii="HG丸ｺﾞｼｯｸM-PRO" w:hAnsi="HG丸ｺﾞｼｯｸM-PRO" w:eastAsia="HG丸ｺﾞｼｯｸM-PRO"/>
          <w:color w:val="000000"/>
          <w:kern w:val="0"/>
          <w:sz w:val="18"/>
        </w:rPr>
        <w:t>災害関係業務事務処理マニュアル（自治体事務担当者用）」（平成</w:t>
      </w:r>
      <w:r>
        <w:rPr>
          <w:rFonts w:hint="default" w:ascii="HG丸ｺﾞｼｯｸM-PRO" w:hAnsi="HG丸ｺﾞｼｯｸM-PRO" w:eastAsia="HG丸ｺﾞｼｯｸM-PRO"/>
          <w:color w:val="000000"/>
          <w:kern w:val="0"/>
          <w:sz w:val="18"/>
        </w:rPr>
        <w:t>26</w:t>
      </w:r>
      <w:r>
        <w:rPr>
          <w:rFonts w:hint="eastAsia" w:ascii="HG丸ｺﾞｼｯｸM-PRO" w:hAnsi="HG丸ｺﾞｼｯｸM-PRO" w:eastAsia="HG丸ｺﾞｼｯｸM-PRO"/>
          <w:color w:val="000000"/>
          <w:kern w:val="0"/>
          <w:sz w:val="18"/>
        </w:rPr>
        <w:t>年</w:t>
      </w:r>
      <w:r>
        <w:rPr>
          <w:rFonts w:hint="default" w:ascii="HG丸ｺﾞｼｯｸM-PRO" w:hAnsi="HG丸ｺﾞｼｯｸM-PRO" w:eastAsia="HG丸ｺﾞｼｯｸM-PRO"/>
          <w:color w:val="000000"/>
          <w:kern w:val="0"/>
          <w:sz w:val="18"/>
        </w:rPr>
        <w:t>6</w:t>
      </w:r>
      <w:r>
        <w:rPr>
          <w:rFonts w:hint="eastAsia" w:ascii="HG丸ｺﾞｼｯｸM-PRO" w:hAnsi="HG丸ｺﾞｼｯｸM-PRO" w:eastAsia="HG丸ｺﾞｼｯｸM-PRO"/>
          <w:color w:val="000000"/>
          <w:kern w:val="0"/>
          <w:sz w:val="18"/>
        </w:rPr>
        <w:t>月）</w:t>
      </w:r>
    </w:p>
    <w:p>
      <w:pPr>
        <w:pStyle w:val="0"/>
        <w:spacing w:line="240" w:lineRule="exact"/>
        <w:ind w:left="540" w:hanging="540" w:hangingChars="300"/>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　　</w:t>
      </w:r>
      <w:r>
        <w:rPr>
          <w:rFonts w:hint="eastAsia" w:ascii="HG丸ｺﾞｼｯｸM-PRO" w:hAnsi="HG丸ｺﾞｼｯｸM-PRO" w:eastAsia="HG丸ｺﾞｼｯｸM-PRO"/>
          <w:color w:val="000000"/>
          <w:kern w:val="0"/>
          <w:sz w:val="18"/>
        </w:rPr>
        <w:t xml:space="preserve"> </w:t>
      </w:r>
      <w:r>
        <w:rPr>
          <w:rFonts w:hint="eastAsia" w:ascii="HG丸ｺﾞｼｯｸM-PRO" w:hAnsi="HG丸ｺﾞｼｯｸM-PRO" w:eastAsia="HG丸ｺﾞｼｯｸM-PRO"/>
          <w:color w:val="000000"/>
          <w:kern w:val="0"/>
          <w:sz w:val="18"/>
        </w:rPr>
        <w:t>「市町村向け災害廃棄物処理行政事務の手引き」（平成</w:t>
      </w:r>
      <w:r>
        <w:rPr>
          <w:rFonts w:hint="eastAsia" w:ascii="HG丸ｺﾞｼｯｸM-PRO" w:hAnsi="HG丸ｺﾞｼｯｸM-PRO" w:eastAsia="HG丸ｺﾞｼｯｸM-PRO"/>
          <w:color w:val="000000"/>
          <w:kern w:val="0"/>
          <w:sz w:val="18"/>
        </w:rPr>
        <w:t>30</w:t>
      </w:r>
      <w:r>
        <w:rPr>
          <w:rFonts w:hint="eastAsia" w:ascii="HG丸ｺﾞｼｯｸM-PRO" w:hAnsi="HG丸ｺﾞｼｯｸM-PRO" w:eastAsia="HG丸ｺﾞｼｯｸM-PRO"/>
          <w:color w:val="000000"/>
          <w:kern w:val="0"/>
          <w:sz w:val="18"/>
        </w:rPr>
        <w:t>年３月、環境省東北地方環境事務所・関東地方環境事務所）</w:t>
      </w:r>
    </w:p>
    <w:p>
      <w:pPr>
        <w:pStyle w:val="0"/>
        <w:rPr>
          <w:rFonts w:hint="default" w:ascii="HG丸ｺﾞｼｯｸM-PRO" w:hAnsi="HG丸ｺﾞｼｯｸM-PRO" w:eastAsia="HG丸ｺﾞｼｯｸM-PRO"/>
        </w:rPr>
      </w:pPr>
    </w:p>
    <w:p>
      <w:pPr>
        <w:rPr>
          <w:rFonts w:hint="default" w:ascii="HG丸ｺﾞｼｯｸM-PRO" w:hAnsi="HG丸ｺﾞｼｯｸM-PRO" w:eastAsia="HG丸ｺﾞｼｯｸM-PRO"/>
        </w:rPr>
        <w:sectPr>
          <w:headerReference r:id="rId72" w:type="default"/>
          <w:footerReference r:id="rId73" w:type="default"/>
          <w:pgSz w:w="11906" w:h="16838"/>
          <w:pgMar w:top="1440" w:right="1077" w:bottom="1440" w:left="1077" w:header="851" w:footer="992" w:gutter="0"/>
          <w:pgNumType w:start="1"/>
          <w:cols w:space="720"/>
          <w:textDirection w:val="lrTb"/>
          <w:docGrid w:type="linesAndChars" w:linePitch="360"/>
        </w:sect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大網白里市災害廃棄物処理計画</w:t>
      </w:r>
    </w:p>
    <w:tbl>
      <w:tblPr>
        <w:tblStyle w:val="45"/>
        <w:tblW w:w="8494" w:type="dxa"/>
        <w:tblInd w:w="0" w:type="dxa"/>
        <w:tblBorders>
          <w:top w:val="single" w:color="auto" w:sz="8" w:space="0"/>
          <w:left w:val="none" w:color="auto" w:sz="0" w:space="0"/>
          <w:bottom w:val="single" w:color="auto" w:sz="8" w:space="0"/>
          <w:right w:val="none" w:color="auto" w:sz="0" w:space="0"/>
        </w:tblBorders>
        <w:tblLayout w:type="fixed"/>
        <w:tblCellMar>
          <w:top w:w="227" w:type="dxa"/>
          <w:left w:w="227" w:type="dxa"/>
          <w:bottom w:w="227" w:type="dxa"/>
          <w:right w:w="227" w:type="dxa"/>
        </w:tblCellMar>
        <w:tblLook w:firstRow="1" w:lastRow="0" w:firstColumn="1" w:lastColumn="0" w:noHBand="0" w:noVBand="1" w:val="04A0"/>
      </w:tblPr>
      <w:tblGrid>
        <w:gridCol w:w="8494"/>
      </w:tblGrid>
      <w:tr>
        <w:trPr/>
        <w:tc>
          <w:tcPr>
            <w:tcW w:w="8494" w:type="dxa"/>
            <w:vAlign w:val="top"/>
          </w:tcPr>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rPr>
              <w:t>発行　令和４年５月</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編集　大網白里市　地域づくり課　環境対策班</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〒２９９</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３２９２　</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住所　千葉県大網白里市大網１１５番地２</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rPr>
              <w:t>TEL</w:t>
            </w:r>
            <w:r>
              <w:rPr>
                <w:rFonts w:hint="eastAsia" w:ascii="HG丸ｺﾞｼｯｸM-PRO" w:hAnsi="HG丸ｺﾞｼｯｸM-PRO" w:eastAsia="HG丸ｺﾞｼｯｸM-PRO"/>
              </w:rPr>
              <w:t>　０４７５</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７０</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０３８６　　</w:t>
            </w:r>
            <w:r>
              <w:rPr>
                <w:rFonts w:hint="eastAsia" w:ascii="HG丸ｺﾞｼｯｸM-PRO" w:hAnsi="HG丸ｺﾞｼｯｸM-PRO" w:eastAsia="HG丸ｺﾞｼｯｸM-PRO"/>
              </w:rPr>
              <w:t>FAX</w:t>
            </w:r>
            <w:r>
              <w:rPr>
                <w:rFonts w:hint="eastAsia" w:ascii="HG丸ｺﾞｼｯｸM-PRO" w:hAnsi="HG丸ｺﾞｼｯｸM-PRO" w:eastAsia="HG丸ｺﾞｼｯｸM-PRO"/>
              </w:rPr>
              <w:t>　０４７５</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７２</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８４５４　</w: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E</w:t>
            </w:r>
            <w:r>
              <w:rPr>
                <w:rFonts w:hint="default" w:ascii="HG丸ｺﾞｼｯｸM-PRO" w:hAnsi="HG丸ｺﾞｼｯｸM-PRO" w:eastAsia="HG丸ｺﾞｼｯｸM-PRO"/>
              </w:rPr>
              <w:t>-</w:t>
            </w:r>
            <w:r>
              <w:rPr>
                <w:rFonts w:hint="eastAsia" w:ascii="HG丸ｺﾞｼｯｸM-PRO" w:hAnsi="HG丸ｺﾞｼｯｸM-PRO" w:eastAsia="HG丸ｺﾞｼｯｸM-PRO"/>
              </w:rPr>
              <w:t>mail</w:t>
            </w:r>
            <w:r>
              <w:rPr>
                <w:rFonts w:hint="eastAsia" w:ascii="HG丸ｺﾞｼｯｸM-PRO" w:hAnsi="HG丸ｺﾞｼｯｸM-PRO" w:eastAsia="HG丸ｺﾞｼｯｸM-PRO"/>
              </w:rPr>
              <w:t>　</w:t>
            </w:r>
            <w:r>
              <w:rPr>
                <w:rFonts w:hint="eastAsia"/>
              </w:rPr>
              <w:fldChar w:fldCharType="begin"/>
            </w:r>
            <w:r>
              <w:rPr>
                <w:rFonts w:hint="eastAsia"/>
              </w:rPr>
              <w:instrText xml:space="preserve"> HYPERLINK "http://n15ch1gws001/scripts/dneo/zwmljs.exe?_=1643861270316"</w:instrText>
            </w:r>
            <w:r>
              <w:rPr>
                <w:rFonts w:hint="eastAsia"/>
              </w:rPr>
              <w:fldChar w:fldCharType="separate"/>
            </w:r>
            <w:r>
              <w:rPr>
                <w:rStyle w:val="44"/>
                <w:rFonts w:hint="default"/>
                <w:sz w:val="18"/>
              </w:rPr>
              <w:t>chiiki@city.oamishirasato.lg.jp</w:t>
            </w:r>
            <w:r>
              <w:rPr>
                <w:rFonts w:hint="eastAsia"/>
              </w:rPr>
              <w:fldChar w:fldCharType="end"/>
            </w:r>
          </w:p>
        </w:tc>
      </w:tr>
    </w:tbl>
    <w:p>
      <w:pPr>
        <w:pStyle w:val="0"/>
        <w:rPr>
          <w:rFonts w:hint="default" w:ascii="HG丸ｺﾞｼｯｸM-PRO" w:hAnsi="HG丸ｺﾞｼｯｸM-PRO" w:eastAsia="HG丸ｺﾞｼｯｸM-PRO"/>
        </w:rPr>
      </w:pPr>
    </w:p>
    <w:sectPr>
      <w:headerReference r:id="rId76" w:type="default"/>
      <w:footerReference r:id="rId77" w:type="default"/>
      <w:pgSz w:w="11906" w:h="16838"/>
      <w:pgMar w:top="1440" w:right="1077" w:bottom="1440" w:left="1077" w:header="851" w:footer="992" w:gutter="0"/>
      <w:cols w:space="720"/>
      <w:textDirection w:val="lrTb"/>
      <w:docGrid w:type="linesAndChar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HG丸ｺﾞｼｯｸM-PRO">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415752369"/>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34</w:t>
        </w:r>
        <w:r>
          <w:rPr>
            <w:rFonts w:hint="eastAsia"/>
          </w:rPr>
          <w:fldChar w:fldCharType="end"/>
        </w:r>
      </w:p>
    </w:sdtContent>
  </w:sdt>
  <w:p>
    <w:pPr>
      <w:pStyle w:val="0"/>
      <w:rPr>
        <w:rFonts w:hint="default" w:ascii="HG丸ｺﾞｼｯｸM-PRO" w:hAnsi="HG丸ｺﾞｼｯｸM-PRO" w:eastAsia="HG丸ｺﾞｼｯｸM-PRO"/>
      </w:rPr>
    </w:pP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0"/>
      <w:jc w:val="center"/>
      <w:rPr>
        <w:rFonts w:hint="default" w:ascii="HG丸ｺﾞｼｯｸM-PRO" w:hAnsi="HG丸ｺﾞｼｯｸM-PRO" w:eastAsia="HG丸ｺﾞｼｯｸM-PRO"/>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408535831"/>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38</w:t>
        </w:r>
        <w:r>
          <w:rPr>
            <w:rFonts w:hint="eastAsia"/>
          </w:rPr>
          <w:fldChar w:fldCharType="end"/>
        </w:r>
      </w:p>
    </w:sdtContent>
  </w:sdt>
  <w:p>
    <w:pPr>
      <w:pStyle w:val="0"/>
      <w:rPr>
        <w:rFonts w:hint="default" w:ascii="HG丸ｺﾞｼｯｸM-PRO" w:hAnsi="HG丸ｺﾞｼｯｸM-PRO" w:eastAsia="HG丸ｺﾞｼｯｸM-PRO"/>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290396768"/>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63</w:t>
        </w:r>
        <w:r>
          <w:rPr>
            <w:rFonts w:hint="eastAsia"/>
          </w:rPr>
          <w:fldChar w:fldCharType="end"/>
        </w:r>
      </w:p>
    </w:sdtContent>
  </w:sdt>
  <w:p>
    <w:pPr>
      <w:pStyle w:val="0"/>
      <w:rPr>
        <w:rFonts w:hint="default" w:ascii="HG丸ｺﾞｼｯｸM-PRO" w:hAnsi="HG丸ｺﾞｼｯｸM-PRO" w:eastAsia="HG丸ｺﾞｼｯｸM-PRO"/>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654875453"/>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64</w:t>
        </w:r>
        <w:r>
          <w:rPr>
            <w:rFonts w:hint="eastAsia"/>
          </w:rPr>
          <w:fldChar w:fldCharType="end"/>
        </w:r>
      </w:p>
    </w:sdtContent>
  </w:sdt>
  <w:p>
    <w:pPr>
      <w:pStyle w:val="0"/>
      <w:rPr>
        <w:rFonts w:hint="default" w:ascii="HG丸ｺﾞｼｯｸM-PRO" w:hAnsi="HG丸ｺﾞｼｯｸM-PRO" w:eastAsia="HG丸ｺﾞｼｯｸM-PRO"/>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278103496"/>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ascii="HG丸ｺﾞｼｯｸM-PRO" w:hAnsi="HG丸ｺﾞｼｯｸM-PRO" w:eastAsia="HG丸ｺﾞｼｯｸM-PRO"/>
          </w:rPr>
          <w:t>資料１</w:t>
        </w:r>
        <w:r>
          <w:rPr>
            <w:rFonts w:hint="eastAsia" w:ascii="HG丸ｺﾞｼｯｸM-PRO" w:hAnsi="HG丸ｺﾞｼｯｸM-PRO" w:eastAsia="HG丸ｺﾞｼｯｸM-PRO"/>
          </w:rPr>
          <w:t>-</w:t>
        </w: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6</w:t>
        </w:r>
        <w:r>
          <w:rPr>
            <w:rFonts w:hint="eastAsia"/>
          </w:rPr>
          <w:fldChar w:fldCharType="end"/>
        </w:r>
      </w:p>
    </w:sdtContent>
  </w:sdt>
  <w:p>
    <w:pPr>
      <w:pStyle w:val="0"/>
      <w:rPr>
        <w:rFonts w:hint="default" w:ascii="HG丸ｺﾞｼｯｸM-PRO" w:hAnsi="HG丸ｺﾞｼｯｸM-PRO" w:eastAsia="HG丸ｺﾞｼｯｸM-PRO"/>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66127497"/>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ascii="HG丸ｺﾞｼｯｸM-PRO" w:hAnsi="HG丸ｺﾞｼｯｸM-PRO" w:eastAsia="HG丸ｺﾞｼｯｸM-PRO"/>
          </w:rPr>
          <w:t>資料２</w:t>
        </w:r>
        <w:r>
          <w:rPr>
            <w:rFonts w:hint="eastAsia" w:ascii="HG丸ｺﾞｼｯｸM-PRO" w:hAnsi="HG丸ｺﾞｼｯｸM-PRO" w:eastAsia="HG丸ｺﾞｼｯｸM-PRO"/>
          </w:rPr>
          <w:t>-</w:t>
        </w: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4</w:t>
        </w:r>
        <w:r>
          <w:rPr>
            <w:rFonts w:hint="eastAsia"/>
          </w:rPr>
          <w:fldChar w:fldCharType="end"/>
        </w:r>
      </w:p>
    </w:sdtContent>
  </w:sdt>
  <w:p>
    <w:pPr>
      <w:pStyle w:val="0"/>
      <w:rPr>
        <w:rFonts w:hint="default" w:ascii="HG丸ｺﾞｼｯｸM-PRO" w:hAnsi="HG丸ｺﾞｼｯｸM-PRO" w:eastAsia="HG丸ｺﾞｼｯｸM-PRO"/>
      </w:rPr>
    </w:pP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634145813"/>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資料３</w:t>
        </w:r>
        <w:r>
          <w:rPr>
            <w:rFonts w:hint="eastAsia" w:ascii="HG丸ｺﾞｼｯｸM-PRO" w:hAnsi="HG丸ｺﾞｼｯｸM-PRO" w:eastAsia="HG丸ｺﾞｼｯｸM-PRO"/>
          </w:rPr>
          <w:t>-</w:t>
        </w: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9</w:t>
        </w:r>
        <w:r>
          <w:rPr>
            <w:rFonts w:hint="eastAsia"/>
          </w:rPr>
          <w:fldChar w:fldCharType="end"/>
        </w:r>
      </w:p>
    </w:sdtContent>
  </w:sdt>
  <w:p>
    <w:pPr>
      <w:pStyle w:val="20"/>
      <w:jc w:val="center"/>
      <w:rPr>
        <w:rFonts w:hint="default" w:ascii="HG丸ｺﾞｼｯｸM-PRO" w:hAnsi="HG丸ｺﾞｼｯｸM-PRO" w:eastAsia="HG丸ｺﾞｼｯｸM-PRO"/>
      </w:rPr>
    </w:pP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664458297"/>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資料４</w:t>
        </w:r>
        <w:r>
          <w:rPr>
            <w:rFonts w:hint="eastAsia" w:ascii="HG丸ｺﾞｼｯｸM-PRO" w:hAnsi="HG丸ｺﾞｼｯｸM-PRO" w:eastAsia="HG丸ｺﾞｼｯｸM-PRO"/>
          </w:rPr>
          <w:t>-</w:t>
        </w: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7</w:t>
        </w:r>
        <w:r>
          <w:rPr>
            <w:rFonts w:hint="eastAsia"/>
          </w:rPr>
          <w:fldChar w:fldCharType="end"/>
        </w:r>
      </w:p>
    </w:sdtContent>
  </w:sdt>
  <w:p>
    <w:pPr>
      <w:pStyle w:val="20"/>
      <w:jc w:val="center"/>
      <w:rPr>
        <w:rFonts w:hint="default" w:ascii="HG丸ｺﾞｼｯｸM-PRO" w:hAnsi="HG丸ｺﾞｼｯｸM-PRO" w:eastAsia="HG丸ｺﾞｼｯｸM-PRO"/>
      </w:rPr>
    </w:pP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367106426"/>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資料５</w:t>
        </w:r>
        <w:r>
          <w:rPr>
            <w:rFonts w:hint="eastAsia" w:ascii="HG丸ｺﾞｼｯｸM-PRO" w:hAnsi="HG丸ｺﾞｼｯｸM-PRO" w:eastAsia="HG丸ｺﾞｼｯｸM-PRO"/>
          </w:rPr>
          <w:t>-</w:t>
        </w: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3</w:t>
        </w:r>
        <w:r>
          <w:rPr>
            <w:rFonts w:hint="eastAsia"/>
          </w:rPr>
          <w:fldChar w:fldCharType="end"/>
        </w:r>
      </w:p>
    </w:sdtContent>
  </w:sdt>
  <w:p>
    <w:pPr>
      <w:pStyle w:val="20"/>
      <w:jc w:val="center"/>
      <w:rPr>
        <w:rFonts w:hint="default" w:ascii="HG丸ｺﾞｼｯｸM-PRO" w:hAnsi="HG丸ｺﾞｼｯｸM-PRO" w:eastAsia="HG丸ｺﾞｼｯｸM-PRO"/>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wordWrap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第５章　仮設トイレ等・し尿の処理</w:t>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wordWrap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第６章　災害廃棄物の処理</w:t>
    </w: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wordWrap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第７章　教育訓練</w:t>
    </w: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wordWrap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第８章　災害廃棄物対策の推進・計画の進捗管理</w:t>
    </w: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巻末資料</w:t>
    </w: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巻末資料</w:t>
    </w: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巻末資料</w:t>
    </w: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巻末資料</w:t>
    </w:r>
  </w:p>
</w:hdr>
</file>

<file path=word/header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multilevel"/>
    <w:tmpl w:val="A0485FD4"/>
    <w:lvl w:ilvl="0">
      <w:start w:val="1"/>
      <w:numFmt w:val="none"/>
      <w:pStyle w:val="1"/>
      <w:suff w:val="nothing"/>
      <w:lvlText w:val=""/>
      <w:lvlJc w:val="left"/>
      <w:pPr>
        <w:ind w:left="425" w:hanging="425"/>
      </w:pPr>
      <w:rPr>
        <w:rFonts w:hint="eastAsia" w:ascii="HG丸ｺﾞｼｯｸM-PRO" w:hAnsi="HG丸ｺﾞｼｯｸM-PRO" w:eastAsia="HG丸ｺﾞｼｯｸM-PRO"/>
        <w:b w:val="1"/>
        <w:i w:val="0"/>
        <w:sz w:val="24"/>
      </w:rPr>
    </w:lvl>
    <w:lvl w:ilvl="1">
      <w:start w:val="1"/>
      <w:numFmt w:val="decimal"/>
      <w:pStyle w:val="2"/>
      <w:suff w:val="nothing"/>
      <w:lvlText w:val="%2%1．"/>
      <w:lvlJc w:val="left"/>
      <w:pPr>
        <w:ind w:left="992" w:hanging="992"/>
      </w:pPr>
      <w:rPr>
        <w:rFonts w:hint="eastAsia" w:ascii="HG丸ｺﾞｼｯｸM-PRO" w:hAnsi="HG丸ｺﾞｼｯｸM-PRO" w:eastAsia="HG丸ｺﾞｼｯｸM-PRO"/>
        <w:b w:val="1"/>
        <w:i w:val="0"/>
        <w:sz w:val="24"/>
      </w:rPr>
    </w:lvl>
    <w:lvl w:ilvl="2">
      <w:start w:val="1"/>
      <w:numFmt w:val="decimal"/>
      <w:pStyle w:val="3"/>
      <w:suff w:val="nothing"/>
      <w:lvlText w:val="%1（%3）"/>
      <w:lvlJc w:val="left"/>
      <w:pPr>
        <w:ind w:left="1418" w:hanging="1418"/>
      </w:pPr>
      <w:rPr>
        <w:rFonts w:hint="eastAsia" w:ascii="HG丸ｺﾞｼｯｸM-PRO" w:hAnsi="HG丸ｺﾞｼｯｸM-PRO" w:eastAsia="HG丸ｺﾞｼｯｸM-PRO"/>
        <w:b w:val="0"/>
        <w:i w:val="0"/>
        <w:color w:val="auto"/>
        <w:sz w:val="21"/>
      </w:rPr>
    </w:lvl>
    <w:lvl w:ilvl="3">
      <w:start w:val="1"/>
      <w:numFmt w:val="decimalEnclosedCircle"/>
      <w:pStyle w:val="4"/>
      <w:suff w:val="nothing"/>
      <w:lvlText w:val="%4 "/>
      <w:lvlJc w:val="left"/>
      <w:pPr>
        <w:ind w:left="737" w:hanging="510"/>
      </w:pPr>
      <w:rPr>
        <w:rFonts w:hint="eastAsia" w:ascii="HG丸ｺﾞｼｯｸM-PRO" w:hAnsi="HG丸ｺﾞｼｯｸM-PRO" w:eastAsia="HG丸ｺﾞｼｯｸM-PRO"/>
        <w:b w:val="0"/>
        <w:i w:val="0"/>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0000002"/>
    <w:multiLevelType w:val="multilevel"/>
    <w:tmpl w:val="7D4407C8"/>
    <w:lvl w:ilvl="0">
      <w:numFmt w:val="bullet"/>
      <w:pStyle w:val="34"/>
      <w:lvlText w:val=""/>
      <w:lvlJc w:val="left"/>
      <w:pPr>
        <w:ind w:left="357" w:hanging="357"/>
      </w:pPr>
      <w:rPr>
        <w:rFonts w:hint="default" w:ascii="Wingdings" w:hAnsi="Wingdings"/>
        <w:color w:val="4472C4" w:themeColor="accent5"/>
      </w:rPr>
    </w:lvl>
    <w:lvl w:ilvl="1">
      <w:numFmt w:val="bullet"/>
      <w:lvlText w:val=""/>
      <w:lvlJc w:val="left"/>
      <w:pPr>
        <w:ind w:left="1140" w:hanging="420"/>
      </w:pPr>
      <w:rPr>
        <w:rFonts w:hint="default" w:ascii="Wingdings" w:hAnsi="Wingdings"/>
      </w:rPr>
    </w:lvl>
    <w:lvl w:ilvl="2">
      <w:numFmt w:val="bullet"/>
      <w:lvlText w:val=""/>
      <w:lvlJc w:val="left"/>
      <w:pPr>
        <w:ind w:left="1560" w:hanging="420"/>
      </w:pPr>
      <w:rPr>
        <w:rFonts w:hint="default" w:ascii="Wingdings" w:hAnsi="Wingdings"/>
      </w:rPr>
    </w:lvl>
    <w:lvl w:ilvl="3">
      <w:numFmt w:val="bullet"/>
      <w:lvlText w:val=""/>
      <w:lvlJc w:val="left"/>
      <w:pPr>
        <w:ind w:left="1980" w:hanging="420"/>
      </w:pPr>
      <w:rPr>
        <w:rFonts w:hint="default" w:ascii="Wingdings" w:hAnsi="Wingdings"/>
      </w:rPr>
    </w:lvl>
    <w:lvl w:ilvl="4">
      <w:numFmt w:val="bullet"/>
      <w:lvlText w:val=""/>
      <w:lvlJc w:val="left"/>
      <w:pPr>
        <w:ind w:left="2400" w:hanging="420"/>
      </w:pPr>
      <w:rPr>
        <w:rFonts w:hint="default" w:ascii="Wingdings" w:hAnsi="Wingdings"/>
      </w:rPr>
    </w:lvl>
    <w:lvl w:ilvl="5">
      <w:numFmt w:val="bullet"/>
      <w:lvlText w:val=""/>
      <w:lvlJc w:val="left"/>
      <w:pPr>
        <w:ind w:left="2820" w:hanging="420"/>
      </w:pPr>
      <w:rPr>
        <w:rFonts w:hint="default" w:ascii="Wingdings" w:hAnsi="Wingdings"/>
      </w:rPr>
    </w:lvl>
    <w:lvl w:ilvl="6">
      <w:numFmt w:val="bullet"/>
      <w:lvlText w:val=""/>
      <w:lvlJc w:val="left"/>
      <w:pPr>
        <w:ind w:left="3240" w:hanging="420"/>
      </w:pPr>
      <w:rPr>
        <w:rFonts w:hint="default" w:ascii="Wingdings" w:hAnsi="Wingdings"/>
      </w:rPr>
    </w:lvl>
    <w:lvl w:ilvl="7">
      <w:numFmt w:val="bullet"/>
      <w:lvlText w:val=""/>
      <w:lvlJc w:val="left"/>
      <w:pPr>
        <w:ind w:left="3660" w:hanging="420"/>
      </w:pPr>
      <w:rPr>
        <w:rFonts w:hint="default" w:ascii="Wingdings" w:hAnsi="Wingdings"/>
      </w:rPr>
    </w:lvl>
    <w:lvl w:ilvl="8">
      <w:numFmt w:val="bullet"/>
      <w:lvlText w:val=""/>
      <w:lvlJc w:val="left"/>
      <w:pPr>
        <w:ind w:left="4080" w:hanging="420"/>
      </w:pPr>
      <w:rPr>
        <w:rFonts w:hint="default" w:ascii="Wingdings" w:hAnsi="Wingdings"/>
      </w:rPr>
    </w:lvl>
  </w:abstractNum>
  <w:abstractNum w:abstractNumId="2">
    <w:nsid w:val="00000003"/>
    <w:multiLevelType w:val="hybridMultilevel"/>
    <w:tmpl w:val="465CA958"/>
    <w:lvl w:ilvl="0" w:tplc="45E0276E">
      <w:numFmt w:val="bullet"/>
      <w:lvlText w:val="○"/>
      <w:lvlJc w:val="left"/>
      <w:pPr>
        <w:ind w:left="780" w:hanging="360"/>
      </w:pPr>
      <w:rPr>
        <w:rFonts w:hint="eastAsia" w:ascii="HG丸ｺﾞｼｯｸM-PRO" w:hAnsi="HG丸ｺﾞｼｯｸM-PRO" w:eastAsia="HG丸ｺﾞｼｯｸM-PRO"/>
        <w:color w:val="auto"/>
      </w:rPr>
    </w:lvl>
    <w:lvl w:ilvl="1" w:tplc="0409000B">
      <w:numFmt w:val="bullet"/>
      <w:lvlText w:val=""/>
      <w:lvlJc w:val="left"/>
      <w:pPr>
        <w:ind w:left="1260" w:hanging="420"/>
      </w:pPr>
      <w:rPr>
        <w:rFonts w:hint="default" w:ascii="Wingdings" w:hAnsi="Wingdings"/>
      </w:rPr>
    </w:lvl>
    <w:lvl w:ilvl="2" w:tplc="0409000D">
      <w:numFmt w:val="bullet"/>
      <w:lvlText w:val=""/>
      <w:lvlJc w:val="left"/>
      <w:pPr>
        <w:ind w:left="1680" w:hanging="420"/>
      </w:pPr>
      <w:rPr>
        <w:rFonts w:hint="default" w:ascii="Wingdings" w:hAnsi="Wingdings"/>
      </w:rPr>
    </w:lvl>
    <w:lvl w:ilvl="3" w:tplc="04090001">
      <w:numFmt w:val="bullet"/>
      <w:lvlText w:val=""/>
      <w:lvlJc w:val="left"/>
      <w:pPr>
        <w:ind w:left="2100" w:hanging="420"/>
      </w:pPr>
      <w:rPr>
        <w:rFonts w:hint="default" w:ascii="Wingdings" w:hAnsi="Wingdings"/>
      </w:rPr>
    </w:lvl>
    <w:lvl w:ilvl="4" w:tplc="0409000B">
      <w:numFmt w:val="bullet"/>
      <w:lvlText w:val=""/>
      <w:lvlJc w:val="left"/>
      <w:pPr>
        <w:ind w:left="2520" w:hanging="420"/>
      </w:pPr>
      <w:rPr>
        <w:rFonts w:hint="default" w:ascii="Wingdings" w:hAnsi="Wingdings"/>
      </w:rPr>
    </w:lvl>
    <w:lvl w:ilvl="5" w:tplc="0409000D">
      <w:numFmt w:val="bullet"/>
      <w:lvlText w:val=""/>
      <w:lvlJc w:val="left"/>
      <w:pPr>
        <w:ind w:left="2940" w:hanging="420"/>
      </w:pPr>
      <w:rPr>
        <w:rFonts w:hint="default" w:ascii="Wingdings" w:hAnsi="Wingdings"/>
      </w:rPr>
    </w:lvl>
    <w:lvl w:ilvl="6" w:tplc="04090001">
      <w:numFmt w:val="bullet"/>
      <w:lvlText w:val=""/>
      <w:lvlJc w:val="left"/>
      <w:pPr>
        <w:ind w:left="3360" w:hanging="420"/>
      </w:pPr>
      <w:rPr>
        <w:rFonts w:hint="default" w:ascii="Wingdings" w:hAnsi="Wingdings"/>
      </w:rPr>
    </w:lvl>
    <w:lvl w:ilvl="7" w:tplc="0409000B">
      <w:numFmt w:val="bullet"/>
      <w:lvlText w:val=""/>
      <w:lvlJc w:val="left"/>
      <w:pPr>
        <w:ind w:left="3780" w:hanging="420"/>
      </w:pPr>
      <w:rPr>
        <w:rFonts w:hint="default" w:ascii="Wingdings" w:hAnsi="Wingdings"/>
      </w:rPr>
    </w:lvl>
    <w:lvl w:ilvl="8" w:tplc="0409000D">
      <w:numFmt w:val="bullet"/>
      <w:lvlText w:val=""/>
      <w:lvlJc w:val="left"/>
      <w:pPr>
        <w:ind w:left="4200" w:hanging="420"/>
      </w:pPr>
      <w:rPr>
        <w:rFonts w:hint="default" w:ascii="Wingdings" w:hAnsi="Wingdings"/>
      </w:rPr>
    </w:lvl>
  </w:abstractNum>
  <w:abstractNum w:abstractNumId="3">
    <w:nsid w:val="00000004"/>
    <w:multiLevelType w:val="hybridMultilevel"/>
    <w:tmpl w:val="85B870A0"/>
    <w:lvl w:ilvl="0" w:tplc="982E852A">
      <w:numFmt w:val="bullet"/>
      <w:lvlText w:val="・"/>
      <w:lvlJc w:val="left"/>
      <w:pPr>
        <w:ind w:left="360" w:hanging="360"/>
      </w:pPr>
      <w:rPr>
        <w:rFonts w:hint="eastAsia" w:ascii="ＭＳ 明朝" w:hAnsi="ＭＳ 明朝" w:eastAsia="ＭＳ 明朝"/>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12" type="connector" idref="#_x0000_s1051">
          <o:proxy start="" idref="#_x0000_s0" connectloc="-1"/>
          <o:proxy end="" idref="#_x0000_s0" connectloc="-1"/>
        </o:r>
        <o:r id="V:Rule22" type="connector" idref="#_x0000_s1048">
          <o:proxy start="" idref="#_x0000_s0" connectloc="-1"/>
          <o:proxy end="" idref="#_x0000_s0" connectloc="-1"/>
        </o:r>
        <o:r id="V:Rule32" type="connector" idref="#_x0000_s1045">
          <o:proxy start="" idref="#_x0000_s0" connectloc="-1"/>
          <o:proxy end="" idref="#_x0000_s0" connectloc="-1"/>
        </o:r>
        <o:r id="V:Rule54" type="connector" idref="#_x0000_s1053">
          <o:proxy start="" idref="#_x0000_s0" connectloc="-1"/>
          <o:proxy end="" idref="#_x0000_s0" connectloc="-1"/>
        </o:r>
        <o:r id="V:Rule60" type="connector" idref="#_x0000_s1079">
          <o:proxy start="" idref="#_x0000_s0" connectloc="-1"/>
          <o:proxy end="" idref="#_x0000_s0" connectloc="-1"/>
        </o:r>
        <o:r id="V:Rule86" type="connector" idref="#_x0000_s1044">
          <o:proxy start="" idref="#_x0000_s0" connectloc="-1"/>
          <o:proxy end="" idref="#_x0000_s0" connectloc="-1"/>
        </o:r>
        <o:r id="V:Rule90" type="connector" idref="#_x0000_s1087">
          <o:proxy start="" idref="#_x0000_s0" connectloc="-1"/>
          <o:proxy end="" idref="#_x0000_s0" connectloc="-1"/>
        </o:r>
        <o:r id="V:Rule106" type="connector" idref="#_x0000_s1052">
          <o:proxy start="" idref="#_x0000_s0" connectloc="-1"/>
          <o:proxy end="" idref="#_x0000_s0" connectloc="-1"/>
        </o:r>
        <o:r id="V:Rule128" type="connector" idref="#_x0000_s1046">
          <o:proxy start="" idref="#_x0000_s0" connectloc="-1"/>
          <o:proxy end="" idref="#_x0000_s0" connectloc="-1"/>
        </o:r>
        <o:r id="V:Rule138" type="connector" idref="#_x0000_s1043">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paragraph" w:styleId="1">
    <w:name w:val="heading 1"/>
    <w:basedOn w:val="0"/>
    <w:next w:val="0"/>
    <w:link w:val="28"/>
    <w:uiPriority w:val="0"/>
    <w:qFormat/>
    <w:pPr>
      <w:numPr>
        <w:ilvl w:val="0"/>
        <w:numId w:val="1"/>
      </w:numPr>
      <w:jc w:val="center"/>
      <w:outlineLvl w:val="0"/>
    </w:pPr>
    <w:rPr>
      <w:rFonts w:ascii="HG丸ｺﾞｼｯｸM-PRO" w:hAnsi="HG丸ｺﾞｼｯｸM-PRO" w:eastAsia="HG丸ｺﾞｼｯｸM-PRO"/>
      <w:b w:val="1"/>
      <w:sz w:val="24"/>
    </w:rPr>
  </w:style>
  <w:style w:type="paragraph" w:styleId="2">
    <w:name w:val="heading 2"/>
    <w:basedOn w:val="0"/>
    <w:next w:val="0"/>
    <w:link w:val="29"/>
    <w:uiPriority w:val="0"/>
    <w:qFormat/>
    <w:pPr>
      <w:numPr>
        <w:ilvl w:val="1"/>
        <w:numId w:val="1"/>
      </w:numPr>
      <w:outlineLvl w:val="1"/>
    </w:pPr>
    <w:rPr>
      <w:rFonts w:ascii="HG丸ｺﾞｼｯｸM-PRO" w:hAnsi="HG丸ｺﾞｼｯｸM-PRO" w:eastAsia="HG丸ｺﾞｼｯｸM-PRO"/>
      <w:b w:val="1"/>
      <w:sz w:val="24"/>
    </w:rPr>
  </w:style>
  <w:style w:type="paragraph" w:styleId="3">
    <w:name w:val="heading 3"/>
    <w:basedOn w:val="0"/>
    <w:next w:val="0"/>
    <w:link w:val="30"/>
    <w:uiPriority w:val="0"/>
    <w:qFormat/>
    <w:pPr>
      <w:numPr>
        <w:ilvl w:val="2"/>
        <w:numId w:val="1"/>
      </w:numPr>
      <w:outlineLvl w:val="2"/>
    </w:pPr>
    <w:rPr>
      <w:rFonts w:ascii="HG丸ｺﾞｼｯｸM-PRO" w:hAnsi="HG丸ｺﾞｼｯｸM-PRO" w:eastAsia="HG丸ｺﾞｼｯｸM-PRO"/>
    </w:rPr>
  </w:style>
  <w:style w:type="paragraph" w:styleId="4">
    <w:name w:val="heading 4"/>
    <w:basedOn w:val="0"/>
    <w:next w:val="0"/>
    <w:link w:val="31"/>
    <w:uiPriority w:val="0"/>
    <w:qFormat/>
    <w:pPr>
      <w:numPr>
        <w:ilvl w:val="3"/>
        <w:numId w:val="1"/>
      </w:numPr>
      <w:outlineLvl w:val="3"/>
    </w:pPr>
    <w:rPr>
      <w:rFonts w:ascii="HG丸ｺﾞｼｯｸM-PRO" w:hAnsi="HG丸ｺﾞｼｯｸM-PRO" w:eastAsia="HG丸ｺﾞｼｯｸM-PRO"/>
    </w:rPr>
  </w:style>
  <w:style w:type="paragraph" w:styleId="5">
    <w:name w:val="heading 5"/>
    <w:basedOn w:val="0"/>
    <w:next w:val="0"/>
    <w:link w:val="37"/>
    <w:uiPriority w:val="0"/>
    <w:qFormat/>
    <w:pPr>
      <w:keepNext w:val="1"/>
      <w:ind w:left="800" w:leftChars="800"/>
      <w:outlineLvl w:val="4"/>
    </w:pPr>
    <w:rPr>
      <w:rFonts w:asciiTheme="majorHAnsi" w:hAnsiTheme="majorHAnsi" w:eastAsiaTheme="majorEastAsia"/>
    </w:rPr>
  </w:style>
  <w:style w:type="paragraph" w:styleId="6">
    <w:name w:val="heading 6"/>
    <w:basedOn w:val="0"/>
    <w:next w:val="0"/>
    <w:link w:val="33"/>
    <w:uiPriority w:val="0"/>
    <w:qFormat/>
    <w:pPr>
      <w:keepNext w:val="1"/>
      <w:ind w:left="800" w:leftChars="800"/>
      <w:outlineLvl w:val="5"/>
    </w:pPr>
    <w:rPr>
      <w:b w:val="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Balloon Text"/>
    <w:basedOn w:val="0"/>
    <w:next w:val="16"/>
    <w:link w:val="17"/>
    <w:uiPriority w:val="0"/>
    <w:semiHidden/>
    <w:rPr>
      <w:rFonts w:asciiTheme="majorHAnsi" w:hAnsiTheme="majorHAnsi" w:eastAsiaTheme="majorEastAsia"/>
      <w:sz w:val="18"/>
    </w:rPr>
  </w:style>
  <w:style w:type="character" w:styleId="17" w:customStyle="1">
    <w:name w:val="吹き出し (文字)"/>
    <w:basedOn w:val="10"/>
    <w:next w:val="17"/>
    <w:link w:val="16"/>
    <w:uiPriority w:val="0"/>
    <w:rPr>
      <w:rFonts w:asciiTheme="majorHAnsi" w:hAnsiTheme="majorHAnsi" w:eastAsiaTheme="majorEastAsia"/>
      <w:kern w:val="2"/>
      <w:sz w:val="18"/>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rPr>
      <w:kern w:val="2"/>
      <w:sz w:val="21"/>
    </w:rPr>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rPr>
      <w:kern w:val="2"/>
      <w:sz w:val="21"/>
    </w:rPr>
  </w:style>
  <w:style w:type="paragraph" w:styleId="22" w:customStyle="1">
    <w:name w:val="Default"/>
    <w:next w:val="22"/>
    <w:link w:val="0"/>
    <w:uiPriority w:val="0"/>
    <w:pPr>
      <w:widowControl w:val="0"/>
      <w:autoSpaceDE w:val="0"/>
      <w:autoSpaceDN w:val="0"/>
      <w:adjustRightInd w:val="0"/>
    </w:pPr>
    <w:rPr>
      <w:rFonts w:ascii="ＭＳ 明朝" w:hAnsi="ＭＳ 明朝"/>
      <w:color w:val="000000"/>
      <w:sz w:val="24"/>
    </w:rPr>
  </w:style>
  <w:style w:type="paragraph" w:styleId="23" w:customStyle="1">
    <w:name w:val="本文ALL"/>
    <w:basedOn w:val="0"/>
    <w:next w:val="23"/>
    <w:link w:val="0"/>
    <w:uiPriority w:val="0"/>
    <w:qFormat/>
    <w:pPr>
      <w:topLinePunct w:val="1"/>
      <w:ind w:firstLine="210" w:firstLineChars="100"/>
    </w:pPr>
    <w:rPr>
      <w:rFonts w:ascii="ＭＳ 明朝" w:hAnsi="ＭＳ 明朝"/>
    </w:rPr>
  </w:style>
  <w:style w:type="paragraph" w:styleId="24">
    <w:name w:val="caption"/>
    <w:basedOn w:val="0"/>
    <w:next w:val="0"/>
    <w:link w:val="0"/>
    <w:uiPriority w:val="0"/>
    <w:semiHidden/>
    <w:qFormat/>
    <w:pPr>
      <w:shd w:val="pct15" w:color="auto" w:fill="auto"/>
      <w:adjustRightInd w:val="0"/>
      <w:spacing w:before="350" w:beforeLines="100" w:beforeAutospacing="0" w:after="175" w:afterLines="50" w:afterAutospacing="0" w:line="360" w:lineRule="atLeast"/>
      <w:jc w:val="left"/>
      <w:textAlignment w:val="baseline"/>
    </w:pPr>
    <w:rPr>
      <w:rFonts w:ascii="ＭＳ ゴシック" w:hAnsi="ＭＳ ゴシック" w:eastAsia="ＭＳ ゴシック"/>
      <w:kern w:val="0"/>
    </w:rPr>
  </w:style>
  <w:style w:type="paragraph" w:styleId="25">
    <w:name w:val="annotation text"/>
    <w:basedOn w:val="0"/>
    <w:next w:val="25"/>
    <w:link w:val="26"/>
    <w:uiPriority w:val="0"/>
    <w:semiHidden/>
    <w:pPr>
      <w:adjustRightInd w:val="0"/>
      <w:spacing w:line="360" w:lineRule="atLeast"/>
      <w:jc w:val="left"/>
      <w:textAlignment w:val="baseline"/>
    </w:pPr>
    <w:rPr>
      <w:kern w:val="0"/>
      <w:sz w:val="20"/>
    </w:rPr>
  </w:style>
  <w:style w:type="character" w:styleId="26" w:customStyle="1">
    <w:name w:val="コメント文字列 (文字)"/>
    <w:basedOn w:val="10"/>
    <w:next w:val="26"/>
    <w:link w:val="25"/>
    <w:uiPriority w:val="0"/>
  </w:style>
  <w:style w:type="character" w:styleId="27">
    <w:name w:val="annotation reference"/>
    <w:basedOn w:val="10"/>
    <w:next w:val="27"/>
    <w:link w:val="0"/>
    <w:uiPriority w:val="0"/>
    <w:semiHidden/>
    <w:rPr>
      <w:sz w:val="18"/>
    </w:rPr>
  </w:style>
  <w:style w:type="character" w:styleId="28" w:customStyle="1">
    <w:name w:val="見出し 1 (文字)"/>
    <w:basedOn w:val="10"/>
    <w:next w:val="28"/>
    <w:link w:val="1"/>
    <w:uiPriority w:val="0"/>
    <w:rPr>
      <w:rFonts w:ascii="HG丸ｺﾞｼｯｸM-PRO" w:hAnsi="HG丸ｺﾞｼｯｸM-PRO" w:eastAsia="HG丸ｺﾞｼｯｸM-PRO"/>
      <w:b w:val="1"/>
      <w:kern w:val="2"/>
      <w:sz w:val="24"/>
    </w:rPr>
  </w:style>
  <w:style w:type="character" w:styleId="29" w:customStyle="1">
    <w:name w:val="見出し 2 (文字)"/>
    <w:basedOn w:val="10"/>
    <w:next w:val="29"/>
    <w:link w:val="2"/>
    <w:uiPriority w:val="0"/>
    <w:rPr>
      <w:rFonts w:ascii="HG丸ｺﾞｼｯｸM-PRO" w:hAnsi="HG丸ｺﾞｼｯｸM-PRO" w:eastAsia="HG丸ｺﾞｼｯｸM-PRO"/>
      <w:b w:val="1"/>
      <w:kern w:val="2"/>
      <w:sz w:val="24"/>
    </w:rPr>
  </w:style>
  <w:style w:type="character" w:styleId="30" w:customStyle="1">
    <w:name w:val="見出し 3 (文字)"/>
    <w:basedOn w:val="10"/>
    <w:next w:val="30"/>
    <w:link w:val="3"/>
    <w:uiPriority w:val="0"/>
    <w:rPr>
      <w:rFonts w:ascii="HG丸ｺﾞｼｯｸM-PRO" w:hAnsi="HG丸ｺﾞｼｯｸM-PRO" w:eastAsia="HG丸ｺﾞｼｯｸM-PRO"/>
      <w:kern w:val="2"/>
      <w:sz w:val="21"/>
    </w:rPr>
  </w:style>
  <w:style w:type="character" w:styleId="31" w:customStyle="1">
    <w:name w:val="見出し 4 (文字)"/>
    <w:basedOn w:val="10"/>
    <w:next w:val="31"/>
    <w:link w:val="4"/>
    <w:uiPriority w:val="0"/>
    <w:rPr>
      <w:rFonts w:ascii="HG丸ｺﾞｼｯｸM-PRO" w:hAnsi="HG丸ｺﾞｼｯｸM-PRO" w:eastAsia="HG丸ｺﾞｼｯｸM-PRO"/>
      <w:kern w:val="2"/>
      <w:sz w:val="21"/>
    </w:rPr>
  </w:style>
  <w:style w:type="paragraph" w:styleId="32">
    <w:name w:val="Normal (Web)"/>
    <w:basedOn w:val="0"/>
    <w:next w:val="32"/>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33" w:customStyle="1">
    <w:name w:val="見出し 6 (文字)"/>
    <w:basedOn w:val="10"/>
    <w:next w:val="33"/>
    <w:link w:val="6"/>
    <w:uiPriority w:val="0"/>
    <w:rPr>
      <w:b w:val="1"/>
      <w:kern w:val="2"/>
      <w:sz w:val="21"/>
    </w:rPr>
  </w:style>
  <w:style w:type="paragraph" w:styleId="34" w:customStyle="1">
    <w:name w:val="●本文"/>
    <w:basedOn w:val="23"/>
    <w:next w:val="34"/>
    <w:link w:val="0"/>
    <w:uiPriority w:val="0"/>
    <w:qFormat/>
    <w:pPr>
      <w:numPr>
        <w:ilvl w:val="0"/>
        <w:numId w:val="2"/>
      </w:numPr>
      <w:autoSpaceDN w:val="0"/>
      <w:adjustRightInd w:val="0"/>
      <w:snapToGrid w:val="0"/>
      <w:spacing w:after="70" w:afterLines="20" w:afterAutospacing="0"/>
      <w:ind w:firstLine="0" w:firstLineChars="0"/>
      <w:textAlignment w:val="baseline"/>
    </w:pPr>
    <w:rPr>
      <w:rFonts w:ascii="游ゴシック" w:hAnsi="游ゴシック" w:eastAsia="游ゴシック"/>
      <w:kern w:val="0"/>
    </w:rPr>
  </w:style>
  <w:style w:type="paragraph" w:styleId="35" w:customStyle="1">
    <w:name w:val="本文all"/>
    <w:basedOn w:val="0"/>
    <w:next w:val="35"/>
    <w:link w:val="36"/>
    <w:uiPriority w:val="0"/>
    <w:pPr>
      <w:topLinePunct w:val="1"/>
      <w:autoSpaceDN w:val="0"/>
      <w:adjustRightInd w:val="0"/>
      <w:snapToGrid w:val="0"/>
      <w:spacing w:line="252" w:lineRule="auto"/>
      <w:ind w:firstLine="100" w:firstLineChars="100"/>
      <w:textAlignment w:val="baseline"/>
    </w:pPr>
    <w:rPr>
      <w:rFonts w:ascii="游ゴシック" w:hAnsi="游ゴシック" w:eastAsia="游ゴシック"/>
      <w:kern w:val="0"/>
    </w:rPr>
  </w:style>
  <w:style w:type="character" w:styleId="36" w:customStyle="1">
    <w:name w:val="本文all (文字)"/>
    <w:basedOn w:val="10"/>
    <w:next w:val="36"/>
    <w:link w:val="35"/>
    <w:uiPriority w:val="0"/>
    <w:rPr>
      <w:rFonts w:ascii="游ゴシック" w:hAnsi="游ゴシック" w:eastAsia="游ゴシック"/>
      <w:sz w:val="21"/>
    </w:rPr>
  </w:style>
  <w:style w:type="character" w:styleId="37" w:customStyle="1">
    <w:name w:val="見出し 5 (文字)"/>
    <w:basedOn w:val="10"/>
    <w:next w:val="37"/>
    <w:link w:val="5"/>
    <w:uiPriority w:val="0"/>
    <w:rPr>
      <w:rFonts w:asciiTheme="majorHAnsi" w:hAnsiTheme="majorHAnsi" w:eastAsiaTheme="majorEastAsia"/>
      <w:kern w:val="2"/>
      <w:sz w:val="21"/>
    </w:rPr>
  </w:style>
  <w:style w:type="paragraph" w:styleId="38">
    <w:name w:val="Date"/>
    <w:basedOn w:val="0"/>
    <w:next w:val="0"/>
    <w:link w:val="39"/>
    <w:uiPriority w:val="0"/>
  </w:style>
  <w:style w:type="character" w:styleId="39" w:customStyle="1">
    <w:name w:val="日付 (文字)"/>
    <w:basedOn w:val="10"/>
    <w:next w:val="39"/>
    <w:link w:val="38"/>
    <w:uiPriority w:val="0"/>
    <w:rPr>
      <w:kern w:val="2"/>
      <w:sz w:val="21"/>
    </w:rPr>
  </w:style>
  <w:style w:type="paragraph" w:styleId="40">
    <w:name w:val="annotation subject"/>
    <w:basedOn w:val="25"/>
    <w:next w:val="25"/>
    <w:link w:val="41"/>
    <w:uiPriority w:val="0"/>
    <w:semiHidden/>
    <w:pPr>
      <w:adjustRightInd w:val="1"/>
      <w:spacing w:line="240" w:lineRule="auto"/>
      <w:textAlignment w:val="auto"/>
    </w:pPr>
    <w:rPr>
      <w:b w:val="1"/>
      <w:kern w:val="2"/>
      <w:sz w:val="21"/>
    </w:rPr>
  </w:style>
  <w:style w:type="character" w:styleId="41" w:customStyle="1">
    <w:name w:val="コメント内容 (文字)"/>
    <w:basedOn w:val="26"/>
    <w:next w:val="41"/>
    <w:link w:val="40"/>
    <w:uiPriority w:val="0"/>
    <w:rPr>
      <w:b w:val="1"/>
      <w:kern w:val="2"/>
      <w:sz w:val="21"/>
    </w:rPr>
  </w:style>
  <w:style w:type="character" w:styleId="42">
    <w:name w:val="footnote reference"/>
    <w:basedOn w:val="10"/>
    <w:next w:val="42"/>
    <w:link w:val="0"/>
    <w:uiPriority w:val="0"/>
    <w:semiHidden/>
    <w:rPr>
      <w:vertAlign w:val="superscript"/>
    </w:rPr>
  </w:style>
  <w:style w:type="character" w:styleId="43">
    <w:name w:val="endnote reference"/>
    <w:basedOn w:val="10"/>
    <w:next w:val="43"/>
    <w:link w:val="0"/>
    <w:uiPriority w:val="0"/>
    <w:semiHidden/>
    <w:rPr>
      <w:vertAlign w:val="superscript"/>
    </w:rPr>
  </w:style>
  <w:style w:type="character" w:styleId="44">
    <w:name w:val="Hyperlink"/>
    <w:basedOn w:val="10"/>
    <w:next w:val="44"/>
    <w:link w:val="0"/>
    <w:uiPriority w:val="0"/>
    <w:rPr>
      <w:color w:val="0000FF"/>
      <w:u w:val="single" w:color="auto"/>
      <w14:shadow w14:blurRad="0" w14:dist="0" w14:dir="0" w14:sx="0" w14:sy="0" w14:kx="0" w14:ky="0" w14:algn="none">
        <w14:srgbClr w14:val="000000"/>
      </w14:shadow>
    </w:rPr>
  </w:style>
  <w:style w:type="table" w:styleId="45">
    <w:name w:val="Table Grid"/>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格子)26"/>
    <w:basedOn w:val="11"/>
    <w:next w:val="46"/>
    <w:link w:val="0"/>
    <w:uiPriority w:val="0"/>
    <w:pPr>
      <w:widowControl w:val="0"/>
      <w:jc w:val="both"/>
    </w:pPr>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 Id="rId10" Type="http://schemas.openxmlformats.org/officeDocument/2006/relationships/image" Target="media/image1.emf" /><Relationship Id="rId11" Type="http://schemas.openxmlformats.org/officeDocument/2006/relationships/image" Target="media/image2.emf" /><Relationship Id="rId12" Type="http://schemas.openxmlformats.org/officeDocument/2006/relationships/image" Target="media/image3.emf" /><Relationship Id="rId13" Type="http://schemas.openxmlformats.org/officeDocument/2006/relationships/image" Target="media/image4.emf" /><Relationship Id="rId14" Type="http://schemas.openxmlformats.org/officeDocument/2006/relationships/image" Target="media/image5.emf" /><Relationship Id="rId15" Type="http://schemas.openxmlformats.org/officeDocument/2006/relationships/image" Target="media/image6.emf" /><Relationship Id="rId16" Type="http://schemas.openxmlformats.org/officeDocument/2006/relationships/image" Target="media/image7.emf" /><Relationship Id="rId17" Type="http://schemas.openxmlformats.org/officeDocument/2006/relationships/image" Target="media/image8.emf" /><Relationship Id="rId18" Type="http://schemas.openxmlformats.org/officeDocument/2006/relationships/image" Target="media/image9.emf" /><Relationship Id="rId19" Type="http://schemas.openxmlformats.org/officeDocument/2006/relationships/image" Target="media/image10.emf" /><Relationship Id="rId20" Type="http://schemas.openxmlformats.org/officeDocument/2006/relationships/image" Target="media/image11.png"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header" Target="header4.xml" /><Relationship Id="rId24" Type="http://schemas.openxmlformats.org/officeDocument/2006/relationships/footer" Target="footer4.xml" /><Relationship Id="rId25" Type="http://schemas.openxmlformats.org/officeDocument/2006/relationships/header" Target="header5.xml" /><Relationship Id="rId26" Type="http://schemas.openxmlformats.org/officeDocument/2006/relationships/footer" Target="footer5.xml" /><Relationship Id="rId27" Type="http://schemas.openxmlformats.org/officeDocument/2006/relationships/footer" Target="footer6.xml" /><Relationship Id="rId28" Type="http://schemas.openxmlformats.org/officeDocument/2006/relationships/header" Target="header6.xml" /><Relationship Id="rId29" Type="http://schemas.openxmlformats.org/officeDocument/2006/relationships/footer" Target="footer7.xml" /><Relationship Id="rId30" Type="http://schemas.openxmlformats.org/officeDocument/2006/relationships/image" Target="media/image12.emf" /><Relationship Id="rId31" Type="http://schemas.openxmlformats.org/officeDocument/2006/relationships/image" Target="media/image13.emf" /><Relationship Id="rId32" Type="http://schemas.openxmlformats.org/officeDocument/2006/relationships/image" Target="media/image14.emf"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emf" /><Relationship Id="rId38" Type="http://schemas.openxmlformats.org/officeDocument/2006/relationships/image" Target="media/image20.png" /><Relationship Id="rId39" Type="http://schemas.openxmlformats.org/officeDocument/2006/relationships/image" Target="media/image21.png" /><Relationship Id="rId40" Type="http://schemas.openxmlformats.org/officeDocument/2006/relationships/image" Target="media/image22.png" /><Relationship Id="rId41" Type="http://schemas.openxmlformats.org/officeDocument/2006/relationships/image" Target="media/image23.png" /><Relationship Id="rId42" Type="http://schemas.openxmlformats.org/officeDocument/2006/relationships/image" Target="media/image24.emf" /><Relationship Id="rId43" Type="http://schemas.openxmlformats.org/officeDocument/2006/relationships/image" Target="media/image25.png" /><Relationship Id="rId44" Type="http://schemas.openxmlformats.org/officeDocument/2006/relationships/image" Target="media/image26.png" /><Relationship Id="rId45" Type="http://schemas.openxmlformats.org/officeDocument/2006/relationships/image" Target="media/image27.emf" /><Relationship Id="rId46" Type="http://schemas.openxmlformats.org/officeDocument/2006/relationships/image" Target="media/image28.png" /><Relationship Id="rId47" Type="http://schemas.openxmlformats.org/officeDocument/2006/relationships/image" Target="media/image29.png" /><Relationship Id="rId48" Type="http://schemas.openxmlformats.org/officeDocument/2006/relationships/header" Target="header7.xml" /><Relationship Id="rId49" Type="http://schemas.openxmlformats.org/officeDocument/2006/relationships/footer" Target="footer8.xml" /><Relationship Id="rId50" Type="http://schemas.openxmlformats.org/officeDocument/2006/relationships/image" Target="media/image30.emf" /><Relationship Id="rId51" Type="http://schemas.openxmlformats.org/officeDocument/2006/relationships/image" Target="media/image31.emf" /><Relationship Id="rId52" Type="http://schemas.openxmlformats.org/officeDocument/2006/relationships/image" Target="media/image32.png" /><Relationship Id="rId53" Type="http://schemas.openxmlformats.org/officeDocument/2006/relationships/image" Target="media/image33.jpg" /><Relationship Id="rId54" Type="http://schemas.openxmlformats.org/officeDocument/2006/relationships/image" Target="media/image34.jpg" /><Relationship Id="rId55" Type="http://schemas.openxmlformats.org/officeDocument/2006/relationships/image" Target="media/image35.jpg" /><Relationship Id="rId56" Type="http://schemas.openxmlformats.org/officeDocument/2006/relationships/image" Target="media/image36.jpg" /><Relationship Id="rId57" Type="http://schemas.openxmlformats.org/officeDocument/2006/relationships/image" Target="media/image37.emf" /><Relationship Id="rId58" Type="http://schemas.openxmlformats.org/officeDocument/2006/relationships/image" Target="media/image38.emf" /><Relationship Id="rId59" Type="http://schemas.openxmlformats.org/officeDocument/2006/relationships/image" Target="media/image39.emf" /><Relationship Id="rId60" Type="http://schemas.openxmlformats.org/officeDocument/2006/relationships/image" Target="media/image40.jpg" /><Relationship Id="rId61" Type="http://schemas.openxmlformats.org/officeDocument/2006/relationships/image" Target="media/image41.jpg" /><Relationship Id="rId62" Type="http://schemas.openxmlformats.org/officeDocument/2006/relationships/image" Target="media/image42.jpg" /><Relationship Id="rId63" Type="http://schemas.openxmlformats.org/officeDocument/2006/relationships/image" Target="media/image43.emf" /><Relationship Id="rId64" Type="http://schemas.openxmlformats.org/officeDocument/2006/relationships/image" Target="media/image44.emf" /><Relationship Id="rId65" Type="http://schemas.openxmlformats.org/officeDocument/2006/relationships/image" Target="media/image45.png" /><Relationship Id="rId66" Type="http://schemas.openxmlformats.org/officeDocument/2006/relationships/image" Target="media/image46.emf" /><Relationship Id="rId67" Type="http://schemas.openxmlformats.org/officeDocument/2006/relationships/image" Target="media/image47.jpg" /><Relationship Id="rId68" Type="http://schemas.openxmlformats.org/officeDocument/2006/relationships/image" Target="media/image48.emf" /><Relationship Id="rId69" Type="http://schemas.openxmlformats.org/officeDocument/2006/relationships/image" Target="media/image49.emf" /><Relationship Id="rId70" Type="http://schemas.openxmlformats.org/officeDocument/2006/relationships/image" Target="media/image50.png" /><Relationship Id="rId71" Type="http://schemas.openxmlformats.org/officeDocument/2006/relationships/image" Target="media/image51.jpg" /><Relationship Id="rId72" Type="http://schemas.openxmlformats.org/officeDocument/2006/relationships/header" Target="header8.xml" /><Relationship Id="rId73" Type="http://schemas.openxmlformats.org/officeDocument/2006/relationships/footer" Target="footer9.xml" /><Relationship Id="rId74" Type="http://schemas.openxmlformats.org/officeDocument/2006/relationships/image" Target="media/image52.emf" /><Relationship Id="rId75" Type="http://schemas.openxmlformats.org/officeDocument/2006/relationships/image" Target="media/image53.emf" /><Relationship Id="rId76" Type="http://schemas.openxmlformats.org/officeDocument/2006/relationships/header" Target="header9.xml" /><Relationship Id="rId77" Type="http://schemas.openxmlformats.org/officeDocument/2006/relationships/footer" Target="footer10.xml" /><Relationship Id="rId7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12336</TotalTime>
  <Pages>98</Pages>
  <Words>645</Words>
  <Characters>55636</Characters>
  <Application>JUST Note</Application>
  <Lines>318609</Lines>
  <Paragraphs>2580</Paragraphs>
  <Company>パシフィックコンサルタンツ(株)</Company>
  <CharactersWithSpaces>56274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PCKK</dc:creator>
  <cp:lastModifiedBy>Administrator</cp:lastModifiedBy>
  <cp:lastPrinted>2022-05-10T02:24:37Z</cp:lastPrinted>
  <dcterms:created xsi:type="dcterms:W3CDTF">2019-04-01T06:11:00Z</dcterms:created>
  <dcterms:modified xsi:type="dcterms:W3CDTF">2022-06-15T06:35:43Z</dcterms:modified>
  <cp:revision>672</cp:revision>
</cp:coreProperties>
</file>